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8CEE" w14:textId="77777777" w:rsidR="00467E30" w:rsidRDefault="00467E30" w:rsidP="00467E30">
      <w:pPr>
        <w:rPr>
          <w:b/>
        </w:rPr>
      </w:pPr>
    </w:p>
    <w:p w14:paraId="031964E0" w14:textId="2158C81A" w:rsidR="003D6776" w:rsidRDefault="00E97DD6" w:rsidP="00467E30">
      <w:pPr>
        <w:pStyle w:val="Header"/>
        <w:pBdr>
          <w:top w:val="double" w:sz="4" w:space="1" w:color="002060"/>
          <w:left w:val="double" w:sz="4" w:space="4" w:color="002060"/>
          <w:bottom w:val="double" w:sz="4" w:space="1" w:color="002060"/>
          <w:right w:val="double" w:sz="4" w:space="4" w:color="002060"/>
        </w:pBdr>
        <w:shd w:val="clear" w:color="auto" w:fill="DBE5F1"/>
        <w:jc w:val="center"/>
        <w:rPr>
          <w:rFonts w:ascii="Tahoma" w:hAnsi="Tahoma" w:cs="Tahoma"/>
          <w:b/>
          <w:color w:val="1F497D"/>
          <w:sz w:val="36"/>
          <w:szCs w:val="36"/>
          <w:lang w:val="en-GB"/>
        </w:rPr>
      </w:pPr>
      <w:r>
        <w:rPr>
          <w:rFonts w:ascii="Tahoma" w:hAnsi="Tahoma" w:cs="Tahoma"/>
          <w:b/>
          <w:color w:val="1F497D"/>
          <w:sz w:val="36"/>
          <w:szCs w:val="36"/>
          <w:lang w:val="en-GB"/>
        </w:rPr>
        <w:t>Strategic Performance</w:t>
      </w:r>
      <w:r w:rsidR="00D9771C">
        <w:rPr>
          <w:rFonts w:ascii="Tahoma" w:hAnsi="Tahoma" w:cs="Tahoma"/>
          <w:b/>
          <w:color w:val="1F497D"/>
          <w:sz w:val="36"/>
          <w:szCs w:val="36"/>
          <w:lang w:val="en-GB"/>
        </w:rPr>
        <w:t xml:space="preserve"> Board</w:t>
      </w:r>
    </w:p>
    <w:p w14:paraId="003F93C3" w14:textId="77777777" w:rsidR="00467E30" w:rsidRPr="007B6DF6" w:rsidRDefault="007B6DF6" w:rsidP="00467E30">
      <w:pPr>
        <w:pStyle w:val="Header"/>
        <w:pBdr>
          <w:top w:val="double" w:sz="4" w:space="1" w:color="002060"/>
          <w:left w:val="double" w:sz="4" w:space="4" w:color="002060"/>
          <w:bottom w:val="double" w:sz="4" w:space="1" w:color="002060"/>
          <w:right w:val="double" w:sz="4" w:space="4" w:color="002060"/>
        </w:pBdr>
        <w:shd w:val="clear" w:color="auto" w:fill="DBE5F1"/>
        <w:jc w:val="center"/>
        <w:rPr>
          <w:rStyle w:val="SenderNameChar"/>
          <w:rFonts w:cs="Tahoma"/>
          <w:b w:val="0"/>
          <w:color w:val="1F497D"/>
          <w:sz w:val="36"/>
          <w:szCs w:val="36"/>
        </w:rPr>
      </w:pPr>
      <w:r w:rsidRPr="007B6DF6">
        <w:rPr>
          <w:rFonts w:ascii="Tahoma" w:hAnsi="Tahoma" w:cs="Tahoma"/>
          <w:b/>
          <w:color w:val="1F497D"/>
          <w:sz w:val="36"/>
          <w:szCs w:val="36"/>
        </w:rPr>
        <w:t>Terms of Reference</w:t>
      </w:r>
    </w:p>
    <w:p w14:paraId="22143DAA" w14:textId="77777777" w:rsidR="008E2C36" w:rsidRPr="00467E30" w:rsidRDefault="008E2C36" w:rsidP="00B11866">
      <w:pPr>
        <w:spacing w:after="0" w:line="240" w:lineRule="auto"/>
        <w:contextualSpacing/>
        <w:rPr>
          <w:rFonts w:ascii="Tahoma" w:hAnsi="Tahoma" w:cs="Tahoma"/>
          <w:sz w:val="20"/>
          <w:szCs w:val="20"/>
        </w:rPr>
      </w:pPr>
    </w:p>
    <w:p w14:paraId="7D8E7877" w14:textId="77777777" w:rsidR="00D9771C" w:rsidRPr="00534D58" w:rsidRDefault="00D9771C" w:rsidP="00D9771C">
      <w:pPr>
        <w:keepNext/>
        <w:tabs>
          <w:tab w:val="num" w:pos="432"/>
        </w:tabs>
        <w:spacing w:after="0" w:line="240" w:lineRule="auto"/>
        <w:contextualSpacing/>
        <w:outlineLvl w:val="0"/>
        <w:rPr>
          <w:rFonts w:cs="Arial"/>
          <w:b/>
          <w:bCs/>
          <w:kern w:val="32"/>
          <w:sz w:val="24"/>
          <w:szCs w:val="24"/>
          <w:lang w:val="x-none" w:eastAsia="en-GB"/>
        </w:rPr>
      </w:pPr>
      <w:bookmarkStart w:id="0" w:name="_Toc3800367"/>
      <w:r w:rsidRPr="00534D58">
        <w:rPr>
          <w:rFonts w:cs="Arial"/>
          <w:b/>
          <w:bCs/>
          <w:kern w:val="32"/>
          <w:sz w:val="24"/>
          <w:szCs w:val="24"/>
          <w:lang w:val="x-none" w:eastAsia="en-GB"/>
        </w:rPr>
        <w:t>1. INTRODUCTION</w:t>
      </w:r>
      <w:bookmarkEnd w:id="0"/>
    </w:p>
    <w:p w14:paraId="5DB07BBE" w14:textId="77777777" w:rsidR="00D9771C" w:rsidRDefault="00D9771C" w:rsidP="00D9771C">
      <w:pPr>
        <w:spacing w:after="0" w:line="240" w:lineRule="auto"/>
        <w:contextualSpacing/>
        <w:rPr>
          <w:rFonts w:cs="Arial"/>
        </w:rPr>
      </w:pPr>
    </w:p>
    <w:p w14:paraId="5688144B" w14:textId="42A6494E" w:rsidR="00D9771C" w:rsidRDefault="00D9771C" w:rsidP="00D9771C">
      <w:pPr>
        <w:keepNext/>
        <w:tabs>
          <w:tab w:val="num" w:pos="432"/>
        </w:tabs>
        <w:spacing w:after="0" w:line="240" w:lineRule="auto"/>
        <w:contextualSpacing/>
        <w:outlineLvl w:val="0"/>
        <w:rPr>
          <w:rFonts w:cs="Arial"/>
          <w:b/>
          <w:bCs/>
          <w:kern w:val="32"/>
          <w:lang w:val="x-none" w:eastAsia="en-GB"/>
        </w:rPr>
      </w:pPr>
      <w:bookmarkStart w:id="1" w:name="_Toc3800368"/>
      <w:r>
        <w:rPr>
          <w:rFonts w:cs="Arial"/>
          <w:bCs/>
          <w:kern w:val="32"/>
          <w:lang w:val="x-none" w:eastAsia="en-GB"/>
        </w:rPr>
        <w:t>This document defines the terms of reference for the</w:t>
      </w:r>
      <w:r>
        <w:rPr>
          <w:rFonts w:cs="Arial"/>
          <w:bCs/>
          <w:kern w:val="32"/>
          <w:lang w:eastAsia="en-GB"/>
        </w:rPr>
        <w:t xml:space="preserve"> </w:t>
      </w:r>
      <w:r w:rsidR="007B3C34">
        <w:rPr>
          <w:rFonts w:cs="Arial"/>
          <w:bCs/>
          <w:kern w:val="32"/>
          <w:lang w:eastAsia="en-GB"/>
        </w:rPr>
        <w:t>Strategic Performance</w:t>
      </w:r>
      <w:r>
        <w:rPr>
          <w:rFonts w:cs="Arial"/>
          <w:bCs/>
          <w:kern w:val="32"/>
          <w:lang w:eastAsia="en-GB"/>
        </w:rPr>
        <w:t xml:space="preserve"> Board</w:t>
      </w:r>
      <w:r>
        <w:rPr>
          <w:rFonts w:cs="Arial"/>
          <w:bCs/>
          <w:kern w:val="32"/>
          <w:lang w:val="x-none" w:eastAsia="en-GB"/>
        </w:rPr>
        <w:t>, its membership and the roles and responsibilities of the members</w:t>
      </w:r>
      <w:r>
        <w:rPr>
          <w:rFonts w:cs="Arial"/>
          <w:b/>
          <w:bCs/>
          <w:kern w:val="32"/>
          <w:lang w:val="x-none" w:eastAsia="en-GB"/>
        </w:rPr>
        <w:t>.</w:t>
      </w:r>
      <w:bookmarkEnd w:id="1"/>
    </w:p>
    <w:p w14:paraId="3D7F6D25" w14:textId="77777777" w:rsidR="003D6776" w:rsidRPr="006E77CA" w:rsidRDefault="003D6776" w:rsidP="00B11866">
      <w:pPr>
        <w:spacing w:after="0" w:line="240" w:lineRule="auto"/>
        <w:contextualSpacing/>
        <w:rPr>
          <w:rFonts w:asciiTheme="minorHAnsi" w:hAnsiTheme="minorHAnsi" w:cstheme="minorHAnsi"/>
          <w:sz w:val="24"/>
          <w:szCs w:val="24"/>
        </w:rPr>
      </w:pPr>
    </w:p>
    <w:p w14:paraId="5C8AED7F" w14:textId="293C9D93" w:rsidR="009D3472" w:rsidRPr="006E77CA" w:rsidRDefault="00B11866" w:rsidP="00B11866">
      <w:pPr>
        <w:pStyle w:val="Heading1"/>
        <w:keepNext w:val="0"/>
        <w:keepLines w:val="0"/>
        <w:pageBreakBefore w:val="0"/>
        <w:widowControl w:val="0"/>
        <w:numPr>
          <w:ilvl w:val="0"/>
          <w:numId w:val="0"/>
        </w:numPr>
        <w:tabs>
          <w:tab w:val="num" w:pos="432"/>
        </w:tabs>
        <w:suppressAutoHyphens/>
        <w:spacing w:before="0" w:after="0"/>
        <w:contextualSpacing/>
        <w:jc w:val="both"/>
        <w:rPr>
          <w:rFonts w:asciiTheme="minorHAnsi" w:hAnsiTheme="minorHAnsi" w:cstheme="minorHAnsi"/>
          <w:sz w:val="24"/>
          <w:szCs w:val="24"/>
        </w:rPr>
      </w:pPr>
      <w:r w:rsidRPr="006E77CA">
        <w:rPr>
          <w:rFonts w:asciiTheme="minorHAnsi" w:hAnsiTheme="minorHAnsi" w:cstheme="minorHAnsi"/>
          <w:sz w:val="24"/>
          <w:szCs w:val="24"/>
        </w:rPr>
        <w:t xml:space="preserve">2. </w:t>
      </w:r>
      <w:r w:rsidR="00534D58">
        <w:rPr>
          <w:rFonts w:asciiTheme="minorHAnsi" w:hAnsiTheme="minorHAnsi" w:cstheme="minorHAnsi"/>
          <w:sz w:val="24"/>
          <w:szCs w:val="24"/>
          <w:lang w:val="en-GB"/>
        </w:rPr>
        <w:t>STRATEGIC PERFORMANCE</w:t>
      </w:r>
      <w:r w:rsidR="00D9771C">
        <w:rPr>
          <w:rFonts w:asciiTheme="minorHAnsi" w:hAnsiTheme="minorHAnsi" w:cstheme="minorHAnsi"/>
          <w:sz w:val="24"/>
          <w:szCs w:val="24"/>
          <w:lang w:val="en-GB"/>
        </w:rPr>
        <w:t xml:space="preserve"> BOARD</w:t>
      </w:r>
      <w:r w:rsidR="003D6776" w:rsidRPr="006E77CA">
        <w:rPr>
          <w:rFonts w:asciiTheme="minorHAnsi" w:hAnsiTheme="minorHAnsi" w:cstheme="minorHAnsi"/>
          <w:sz w:val="24"/>
          <w:szCs w:val="24"/>
          <w:lang w:val="en-GB"/>
        </w:rPr>
        <w:t xml:space="preserve"> PURPOSE</w:t>
      </w:r>
    </w:p>
    <w:p w14:paraId="58C5FECC" w14:textId="77777777" w:rsidR="008012FA" w:rsidRPr="006E77CA" w:rsidRDefault="008012FA" w:rsidP="00B11866">
      <w:pPr>
        <w:pStyle w:val="Default"/>
        <w:widowControl w:val="0"/>
        <w:suppressAutoHyphens/>
        <w:contextualSpacing/>
        <w:jc w:val="both"/>
        <w:rPr>
          <w:rFonts w:asciiTheme="minorHAnsi" w:hAnsiTheme="minorHAnsi" w:cstheme="minorHAnsi"/>
          <w:highlight w:val="yellow"/>
        </w:rPr>
      </w:pPr>
    </w:p>
    <w:p w14:paraId="3ECCB3E6" w14:textId="4000C6DE" w:rsidR="00D9771C" w:rsidRPr="00FC5860" w:rsidRDefault="00D9771C" w:rsidP="00D9771C">
      <w:pPr>
        <w:spacing w:after="0" w:line="240" w:lineRule="auto"/>
        <w:contextualSpacing/>
        <w:rPr>
          <w:rFonts w:cs="Arial"/>
        </w:rPr>
      </w:pPr>
      <w:r w:rsidRPr="13372133">
        <w:rPr>
          <w:rFonts w:cs="Arial"/>
        </w:rPr>
        <w:t>The Police Reform and Social Responsibility Act 2011 establish</w:t>
      </w:r>
      <w:r w:rsidR="00C6015C" w:rsidRPr="13372133">
        <w:rPr>
          <w:rFonts w:cs="Arial"/>
        </w:rPr>
        <w:t>ed</w:t>
      </w:r>
      <w:r w:rsidRPr="13372133">
        <w:rPr>
          <w:rFonts w:cs="Arial"/>
        </w:rPr>
        <w:t xml:space="preserve"> Police and Crime Commissioners (PCCs), who have a statutory duty and electoral mandate to hold the police to account on behalf of the public.  The </w:t>
      </w:r>
      <w:r w:rsidR="007B3C34" w:rsidRPr="13372133">
        <w:rPr>
          <w:rFonts w:cs="Arial"/>
        </w:rPr>
        <w:t>Strategic Performance</w:t>
      </w:r>
      <w:r w:rsidRPr="13372133">
        <w:rPr>
          <w:rFonts w:cs="Arial"/>
        </w:rPr>
        <w:t xml:space="preserve"> Board is the forum in which the PCC will hold the Chief Constable (CC)</w:t>
      </w:r>
      <w:r w:rsidR="00FC5860" w:rsidRPr="13372133">
        <w:rPr>
          <w:rFonts w:cs="Arial"/>
        </w:rPr>
        <w:t xml:space="preserve"> and scrutinise the CC’s performance of the functions and responsibilities listed in section 1(8) of the 2011 Act and those functions and responsibilities under the direction and control of the C</w:t>
      </w:r>
      <w:r w:rsidR="42AD2844" w:rsidRPr="13372133">
        <w:rPr>
          <w:rFonts w:cs="Arial"/>
        </w:rPr>
        <w:t xml:space="preserve">C. </w:t>
      </w:r>
    </w:p>
    <w:p w14:paraId="603BB29E" w14:textId="0B1B01B8" w:rsidR="003D6776" w:rsidRPr="006E77CA" w:rsidRDefault="003D6776" w:rsidP="13372133">
      <w:pPr>
        <w:spacing w:after="0" w:line="240" w:lineRule="auto"/>
        <w:contextualSpacing/>
        <w:rPr>
          <w:rFonts w:cs="Arial"/>
          <w:lang w:eastAsia="en-GB"/>
        </w:rPr>
      </w:pPr>
    </w:p>
    <w:p w14:paraId="4178097D" w14:textId="26BA4BF2" w:rsidR="00FC5860" w:rsidRPr="006E77CA" w:rsidRDefault="42AD2844" w:rsidP="13372133">
      <w:pPr>
        <w:pStyle w:val="Heading1"/>
        <w:keepLines w:val="0"/>
        <w:pageBreakBefore w:val="0"/>
        <w:numPr>
          <w:ilvl w:val="0"/>
          <w:numId w:val="0"/>
        </w:numPr>
        <w:tabs>
          <w:tab w:val="num" w:pos="432"/>
        </w:tabs>
        <w:spacing w:before="0" w:after="0"/>
        <w:ind w:left="432" w:hanging="432"/>
        <w:contextualSpacing/>
        <w:jc w:val="both"/>
        <w:rPr>
          <w:rFonts w:asciiTheme="minorHAnsi" w:hAnsiTheme="minorHAnsi" w:cstheme="minorBidi"/>
          <w:sz w:val="24"/>
          <w:szCs w:val="24"/>
        </w:rPr>
      </w:pPr>
      <w:r w:rsidRPr="13372133">
        <w:rPr>
          <w:rFonts w:asciiTheme="minorHAnsi" w:hAnsiTheme="minorHAnsi" w:cstheme="minorBidi"/>
          <w:sz w:val="24"/>
          <w:szCs w:val="24"/>
        </w:rPr>
        <w:t>3. GOVERNANCE</w:t>
      </w:r>
    </w:p>
    <w:p w14:paraId="3BE009F1" w14:textId="77777777" w:rsidR="00FC5860" w:rsidRPr="006E77CA" w:rsidRDefault="00FC5860" w:rsidP="13372133">
      <w:pPr>
        <w:pStyle w:val="Default"/>
        <w:contextualSpacing/>
        <w:jc w:val="both"/>
        <w:rPr>
          <w:rFonts w:asciiTheme="minorHAnsi" w:hAnsiTheme="minorHAnsi" w:cstheme="minorBidi"/>
          <w:i/>
          <w:iCs/>
          <w:color w:val="auto"/>
        </w:rPr>
      </w:pPr>
    </w:p>
    <w:p w14:paraId="44A0BD6D" w14:textId="60BD7BF6" w:rsidR="00FC5860" w:rsidRPr="006E77CA" w:rsidRDefault="42AD2844" w:rsidP="13372133">
      <w:pPr>
        <w:numPr>
          <w:ilvl w:val="0"/>
          <w:numId w:val="10"/>
        </w:numPr>
        <w:spacing w:after="0" w:line="240" w:lineRule="auto"/>
        <w:ind w:left="567" w:right="-46" w:hanging="567"/>
        <w:contextualSpacing/>
        <w:rPr>
          <w:rFonts w:cs="Arial"/>
          <w:color w:val="000000" w:themeColor="text1"/>
          <w:lang w:eastAsia="en-GB"/>
        </w:rPr>
      </w:pPr>
      <w:r w:rsidRPr="13372133">
        <w:rPr>
          <w:rFonts w:cs="Arial"/>
          <w:color w:val="000000" w:themeColor="text1"/>
          <w:lang w:eastAsia="en-GB"/>
        </w:rPr>
        <w:t xml:space="preserve">The Chair of the Strategic Performance Board is the Police and Crime Commissioner. </w:t>
      </w:r>
    </w:p>
    <w:p w14:paraId="5480D5B9" w14:textId="70D75DC6" w:rsidR="00FC5860" w:rsidRPr="006E77CA" w:rsidRDefault="42AD2844" w:rsidP="13372133">
      <w:pPr>
        <w:numPr>
          <w:ilvl w:val="0"/>
          <w:numId w:val="10"/>
        </w:numPr>
        <w:spacing w:after="0" w:line="240" w:lineRule="auto"/>
        <w:ind w:left="567" w:right="-46" w:hanging="567"/>
        <w:contextualSpacing/>
        <w:rPr>
          <w:rFonts w:cs="Arial"/>
          <w:color w:val="000000" w:themeColor="text1"/>
          <w:lang w:eastAsia="en-GB"/>
        </w:rPr>
      </w:pPr>
      <w:r w:rsidRPr="13372133">
        <w:rPr>
          <w:rFonts w:cs="Arial"/>
          <w:color w:val="000000" w:themeColor="text1"/>
          <w:lang w:eastAsia="en-GB"/>
        </w:rPr>
        <w:t>The Strategic Performance Board has a key role in ensuring that Force and OPCC commitments to national requirements are maintained and enhanced as required.</w:t>
      </w:r>
    </w:p>
    <w:p w14:paraId="4D392A7D" w14:textId="2CBBFE99" w:rsidR="00FC5860" w:rsidRPr="006E77CA" w:rsidRDefault="42AD2844" w:rsidP="13372133">
      <w:pPr>
        <w:numPr>
          <w:ilvl w:val="0"/>
          <w:numId w:val="10"/>
        </w:numPr>
        <w:spacing w:after="0" w:line="240" w:lineRule="auto"/>
        <w:ind w:left="567" w:right="-46" w:hanging="567"/>
        <w:contextualSpacing/>
        <w:rPr>
          <w:rFonts w:cs="Arial"/>
          <w:color w:val="000000" w:themeColor="text1"/>
          <w:lang w:eastAsia="en-GB"/>
        </w:rPr>
      </w:pPr>
      <w:r w:rsidRPr="13372133">
        <w:rPr>
          <w:rFonts w:cs="Arial"/>
          <w:color w:val="000000" w:themeColor="text1"/>
          <w:lang w:eastAsia="en-GB"/>
        </w:rPr>
        <w:t>Any emerging issues that require further consideration will be escalated to the Policing Board.</w:t>
      </w:r>
    </w:p>
    <w:p w14:paraId="422F5EE4" w14:textId="2FFE8EA3" w:rsidR="00FC5860" w:rsidRPr="006E77CA" w:rsidRDefault="42AD2844" w:rsidP="13372133">
      <w:pPr>
        <w:numPr>
          <w:ilvl w:val="0"/>
          <w:numId w:val="10"/>
        </w:numPr>
        <w:spacing w:after="0" w:line="240" w:lineRule="auto"/>
        <w:ind w:left="567" w:right="-46" w:hanging="567"/>
        <w:contextualSpacing/>
        <w:rPr>
          <w:rFonts w:cs="Arial"/>
        </w:rPr>
      </w:pPr>
      <w:r w:rsidRPr="13372133">
        <w:rPr>
          <w:rFonts w:cs="Arial"/>
        </w:rPr>
        <w:t>The Strategic Performance Board is held to account for the way in which it delivers its functions by the Chief Executive and Monitoring Officer. Any emerging risks will be considered for inclusion within the Force and/or OPCC Risk Registers.</w:t>
      </w:r>
      <w:r w:rsidRPr="13372133">
        <w:rPr>
          <w:rFonts w:asciiTheme="minorHAnsi" w:hAnsiTheme="minorHAnsi" w:cstheme="minorBidi"/>
          <w:sz w:val="24"/>
          <w:szCs w:val="24"/>
        </w:rPr>
        <w:t xml:space="preserve"> </w:t>
      </w:r>
    </w:p>
    <w:p w14:paraId="3939BC85" w14:textId="06F302C5" w:rsidR="00FC5860" w:rsidRPr="006E77CA" w:rsidRDefault="00FC5860" w:rsidP="13372133">
      <w:pPr>
        <w:spacing w:after="0" w:line="240" w:lineRule="auto"/>
        <w:ind w:left="567" w:right="-46" w:hanging="567"/>
        <w:contextualSpacing/>
        <w:rPr>
          <w:rFonts w:cs="Arial"/>
        </w:rPr>
      </w:pPr>
    </w:p>
    <w:p w14:paraId="325D7B01" w14:textId="41DBDB84" w:rsidR="00FC5860" w:rsidRPr="006E77CA" w:rsidRDefault="42AD2844" w:rsidP="13372133">
      <w:pPr>
        <w:pStyle w:val="Heading1"/>
        <w:keepLines w:val="0"/>
        <w:pageBreakBefore w:val="0"/>
        <w:numPr>
          <w:ilvl w:val="0"/>
          <w:numId w:val="0"/>
        </w:numPr>
        <w:tabs>
          <w:tab w:val="num" w:pos="432"/>
        </w:tabs>
        <w:spacing w:before="0" w:after="0"/>
        <w:ind w:left="432" w:hanging="432"/>
        <w:contextualSpacing/>
        <w:jc w:val="both"/>
        <w:rPr>
          <w:rFonts w:asciiTheme="minorHAnsi" w:hAnsiTheme="minorHAnsi" w:cstheme="minorBidi"/>
          <w:sz w:val="24"/>
          <w:szCs w:val="24"/>
        </w:rPr>
      </w:pPr>
      <w:r w:rsidRPr="13372133">
        <w:rPr>
          <w:rFonts w:asciiTheme="minorHAnsi" w:hAnsiTheme="minorHAnsi" w:cstheme="minorBidi"/>
          <w:sz w:val="24"/>
          <w:szCs w:val="24"/>
        </w:rPr>
        <w:t>4</w:t>
      </w:r>
      <w:r w:rsidR="00B11866" w:rsidRPr="13372133">
        <w:rPr>
          <w:rFonts w:asciiTheme="minorHAnsi" w:hAnsiTheme="minorHAnsi" w:cstheme="minorBidi"/>
          <w:sz w:val="24"/>
          <w:szCs w:val="24"/>
        </w:rPr>
        <w:t xml:space="preserve">. </w:t>
      </w:r>
      <w:r w:rsidR="00FC5860" w:rsidRPr="13372133">
        <w:rPr>
          <w:rFonts w:asciiTheme="minorHAnsi" w:hAnsiTheme="minorHAnsi" w:cstheme="minorBidi"/>
          <w:sz w:val="24"/>
          <w:szCs w:val="24"/>
        </w:rPr>
        <w:t>TERMS OF REFERENCE</w:t>
      </w:r>
    </w:p>
    <w:p w14:paraId="47449ECB" w14:textId="77777777" w:rsidR="00FC5860" w:rsidRPr="006E77CA" w:rsidRDefault="00FC5860" w:rsidP="00FC5860">
      <w:pPr>
        <w:spacing w:after="0" w:line="240" w:lineRule="auto"/>
        <w:contextualSpacing/>
        <w:jc w:val="both"/>
        <w:rPr>
          <w:rFonts w:asciiTheme="minorHAnsi" w:hAnsiTheme="minorHAnsi" w:cstheme="minorHAnsi"/>
          <w:sz w:val="24"/>
          <w:szCs w:val="24"/>
        </w:rPr>
      </w:pPr>
    </w:p>
    <w:p w14:paraId="3DBDF771" w14:textId="3B02E3CF" w:rsidR="00E35F43" w:rsidRDefault="00E35F43" w:rsidP="0EB0CC45">
      <w:pPr>
        <w:spacing w:after="0" w:line="240" w:lineRule="auto"/>
        <w:contextualSpacing/>
        <w:rPr>
          <w:rFonts w:cs="Calibri"/>
          <w:kern w:val="32"/>
        </w:rPr>
      </w:pPr>
      <w:r w:rsidRPr="01C781EA">
        <w:rPr>
          <w:rFonts w:cs="Arial"/>
          <w:kern w:val="32"/>
          <w:lang w:eastAsia="en-GB"/>
        </w:rPr>
        <w:t>The Strategic Performance Board provides opportunity for scrutiny and oversight of Force performance</w:t>
      </w:r>
      <w:r w:rsidR="46F8E57B" w:rsidRPr="01C781EA">
        <w:rPr>
          <w:rFonts w:cs="Arial"/>
          <w:kern w:val="32"/>
          <w:lang w:eastAsia="en-GB"/>
        </w:rPr>
        <w:t xml:space="preserve">. </w:t>
      </w:r>
      <w:r w:rsidRPr="01C781EA">
        <w:rPr>
          <w:rFonts w:cs="Arial"/>
          <w:kern w:val="32"/>
          <w:lang w:eastAsia="en-GB"/>
        </w:rPr>
        <w:t>It will focus on delivery of service against the priorities outlined in the Police and Crime Plan</w:t>
      </w:r>
      <w:r w:rsidR="00534D58" w:rsidRPr="01C781EA">
        <w:rPr>
          <w:rFonts w:cs="Arial"/>
          <w:kern w:val="32"/>
          <w:lang w:eastAsia="en-GB"/>
        </w:rPr>
        <w:t>,</w:t>
      </w:r>
      <w:r w:rsidRPr="01C781EA">
        <w:rPr>
          <w:rFonts w:cs="Arial"/>
          <w:kern w:val="32"/>
          <w:lang w:eastAsia="en-GB"/>
        </w:rPr>
        <w:t xml:space="preserve"> performance against national measures</w:t>
      </w:r>
      <w:r w:rsidR="00534D58" w:rsidRPr="01C781EA">
        <w:rPr>
          <w:rFonts w:cs="Arial"/>
          <w:kern w:val="32"/>
          <w:lang w:eastAsia="en-GB"/>
        </w:rPr>
        <w:t xml:space="preserve"> and organisational productivity</w:t>
      </w:r>
      <w:r w:rsidRPr="01C781EA">
        <w:rPr>
          <w:rFonts w:cs="Arial"/>
          <w:kern w:val="32"/>
          <w:lang w:eastAsia="en-GB"/>
        </w:rPr>
        <w:t>.</w:t>
      </w:r>
      <w:r w:rsidR="5C7E0F50" w:rsidRPr="01C781EA">
        <w:rPr>
          <w:rFonts w:cs="Arial"/>
          <w:kern w:val="32"/>
          <w:lang w:eastAsia="en-GB"/>
        </w:rPr>
        <w:t xml:space="preserve"> </w:t>
      </w:r>
      <w:r w:rsidR="5C7E0F50" w:rsidRPr="0EB0CC45">
        <w:rPr>
          <w:rFonts w:cs="Calibri"/>
          <w:color w:val="000000" w:themeColor="text1"/>
        </w:rPr>
        <w:t>A forward work programme will be established to ensure that meetings are effective and focus on matters at appropriate intervals throughout the year.  This will be reviewed fortnightly by the OPCC Senior Management Team.</w:t>
      </w:r>
    </w:p>
    <w:p w14:paraId="22791BA3" w14:textId="77777777" w:rsidR="00FC5860" w:rsidRDefault="00FC5860" w:rsidP="00FC5860">
      <w:pPr>
        <w:spacing w:after="0" w:line="240" w:lineRule="auto"/>
        <w:contextualSpacing/>
        <w:rPr>
          <w:rFonts w:cs="Arial"/>
          <w:bCs/>
          <w:kern w:val="32"/>
          <w:lang w:eastAsia="en-GB"/>
        </w:rPr>
      </w:pPr>
    </w:p>
    <w:p w14:paraId="1B260280" w14:textId="0C7739B9" w:rsidR="00FC5860" w:rsidRDefault="00FC5860" w:rsidP="00FC5860">
      <w:pPr>
        <w:spacing w:after="0" w:line="240" w:lineRule="auto"/>
        <w:contextualSpacing/>
        <w:rPr>
          <w:rFonts w:cs="Arial"/>
          <w:bCs/>
          <w:kern w:val="32"/>
          <w:lang w:eastAsia="en-GB"/>
        </w:rPr>
      </w:pPr>
      <w:r>
        <w:rPr>
          <w:rFonts w:cs="Arial"/>
          <w:bCs/>
          <w:kern w:val="32"/>
          <w:lang w:eastAsia="en-GB"/>
        </w:rPr>
        <w:t>In line with the Policing Protocol 20</w:t>
      </w:r>
      <w:r w:rsidR="00E35F43">
        <w:rPr>
          <w:rFonts w:cs="Arial"/>
          <w:bCs/>
          <w:kern w:val="32"/>
          <w:lang w:eastAsia="en-GB"/>
        </w:rPr>
        <w:t>23</w:t>
      </w:r>
      <w:r>
        <w:rPr>
          <w:rFonts w:cs="Arial"/>
          <w:bCs/>
          <w:kern w:val="32"/>
          <w:lang w:eastAsia="en-GB"/>
        </w:rPr>
        <w:t xml:space="preserve">, the </w:t>
      </w:r>
      <w:r w:rsidR="00866640">
        <w:rPr>
          <w:rFonts w:cs="Arial"/>
          <w:bCs/>
          <w:kern w:val="32"/>
          <w:lang w:eastAsia="en-GB"/>
        </w:rPr>
        <w:t>Strategic Performance Board</w:t>
      </w:r>
      <w:r>
        <w:rPr>
          <w:rFonts w:cs="Arial"/>
          <w:bCs/>
          <w:kern w:val="32"/>
          <w:lang w:eastAsia="en-GB"/>
        </w:rPr>
        <w:t xml:space="preserve"> will:</w:t>
      </w:r>
    </w:p>
    <w:p w14:paraId="1C3AAA84" w14:textId="77777777" w:rsidR="00FC5860" w:rsidRDefault="00FC5860" w:rsidP="00FC5860">
      <w:pPr>
        <w:spacing w:after="0" w:line="240" w:lineRule="auto"/>
        <w:contextualSpacing/>
        <w:rPr>
          <w:rFonts w:cs="Arial"/>
          <w:bCs/>
          <w:kern w:val="32"/>
          <w:lang w:eastAsia="en-GB"/>
        </w:rPr>
      </w:pPr>
    </w:p>
    <w:p w14:paraId="6231C783" w14:textId="2191E861" w:rsidR="00534D58" w:rsidRDefault="00534D58" w:rsidP="01C781EA">
      <w:pPr>
        <w:numPr>
          <w:ilvl w:val="0"/>
          <w:numId w:val="38"/>
        </w:numPr>
        <w:spacing w:after="0" w:line="240" w:lineRule="auto"/>
        <w:contextualSpacing/>
        <w:rPr>
          <w:rFonts w:cs="Arial"/>
          <w:kern w:val="32"/>
          <w:lang w:eastAsia="en-GB"/>
        </w:rPr>
      </w:pPr>
      <w:r w:rsidRPr="01C781EA">
        <w:rPr>
          <w:rFonts w:cs="Arial"/>
          <w:lang w:eastAsia="en-GB"/>
        </w:rPr>
        <w:t>Seek assurance on matters impacting</w:t>
      </w:r>
      <w:r w:rsidRPr="01C781EA">
        <w:rPr>
          <w:rFonts w:cs="Arial"/>
          <w:kern w:val="32"/>
          <w:lang w:eastAsia="en-GB"/>
        </w:rPr>
        <w:t xml:space="preserve"> public trust and confidence in policing;</w:t>
      </w:r>
    </w:p>
    <w:p w14:paraId="11AC3E68" w14:textId="2C29FF3E" w:rsidR="00FC5860" w:rsidRDefault="00FC5860" w:rsidP="00FC5860">
      <w:pPr>
        <w:numPr>
          <w:ilvl w:val="0"/>
          <w:numId w:val="38"/>
        </w:numPr>
        <w:spacing w:after="0" w:line="240" w:lineRule="auto"/>
        <w:contextualSpacing/>
        <w:rPr>
          <w:rFonts w:cs="Arial"/>
          <w:bCs/>
          <w:kern w:val="32"/>
          <w:lang w:eastAsia="en-GB"/>
        </w:rPr>
      </w:pPr>
      <w:r>
        <w:rPr>
          <w:rFonts w:cs="Arial"/>
          <w:bCs/>
          <w:kern w:val="32"/>
          <w:lang w:eastAsia="en-GB"/>
        </w:rPr>
        <w:t>Scrutinise, support and challenge performance against the strategic priorities set out in the Police and Crime Plan;</w:t>
      </w:r>
    </w:p>
    <w:p w14:paraId="17E2D4F4" w14:textId="7BF8038C" w:rsidR="00FC5860" w:rsidRDefault="00FC5860" w:rsidP="00FC5860">
      <w:pPr>
        <w:numPr>
          <w:ilvl w:val="0"/>
          <w:numId w:val="38"/>
        </w:numPr>
        <w:spacing w:after="0" w:line="240" w:lineRule="auto"/>
        <w:contextualSpacing/>
        <w:rPr>
          <w:rFonts w:cs="Arial"/>
          <w:bCs/>
          <w:kern w:val="32"/>
          <w:lang w:eastAsia="en-GB"/>
        </w:rPr>
      </w:pPr>
      <w:r>
        <w:rPr>
          <w:rFonts w:cs="Arial"/>
          <w:bCs/>
          <w:kern w:val="32"/>
          <w:lang w:eastAsia="en-GB"/>
        </w:rPr>
        <w:t xml:space="preserve">Hold the CC to account for the performance of the </w:t>
      </w:r>
      <w:r w:rsidR="00E35F43">
        <w:rPr>
          <w:rFonts w:cs="Arial"/>
          <w:bCs/>
          <w:kern w:val="32"/>
          <w:lang w:eastAsia="en-GB"/>
        </w:rPr>
        <w:t>F</w:t>
      </w:r>
      <w:r>
        <w:rPr>
          <w:rFonts w:cs="Arial"/>
          <w:bCs/>
          <w:kern w:val="32"/>
          <w:lang w:eastAsia="en-GB"/>
        </w:rPr>
        <w:t>orce’s officers and staff;</w:t>
      </w:r>
    </w:p>
    <w:p w14:paraId="186AD99B" w14:textId="2BD33EC8" w:rsidR="00E35F43" w:rsidRDefault="00E35F43" w:rsidP="01C781EA">
      <w:pPr>
        <w:numPr>
          <w:ilvl w:val="0"/>
          <w:numId w:val="38"/>
        </w:numPr>
        <w:spacing w:after="0" w:line="240" w:lineRule="auto"/>
        <w:contextualSpacing/>
        <w:rPr>
          <w:rFonts w:cs="Arial"/>
          <w:kern w:val="32"/>
          <w:lang w:eastAsia="en-GB"/>
        </w:rPr>
      </w:pPr>
      <w:r w:rsidRPr="01C781EA">
        <w:rPr>
          <w:rFonts w:cs="Arial"/>
          <w:kern w:val="32"/>
          <w:lang w:eastAsia="en-GB"/>
        </w:rPr>
        <w:t>Focus on the delivery of effective services that support victims and provides victim satisfaction and public confidence</w:t>
      </w:r>
      <w:r w:rsidR="00C801AA" w:rsidRPr="01C781EA">
        <w:rPr>
          <w:rFonts w:cs="Arial"/>
          <w:kern w:val="32"/>
          <w:lang w:eastAsia="en-GB"/>
        </w:rPr>
        <w:t xml:space="preserve">, including </w:t>
      </w:r>
      <w:r w:rsidR="00534D58" w:rsidRPr="01C781EA">
        <w:rPr>
          <w:rFonts w:cs="Arial"/>
          <w:kern w:val="32"/>
          <w:lang w:eastAsia="en-GB"/>
        </w:rPr>
        <w:t>consideration</w:t>
      </w:r>
      <w:r w:rsidR="00C801AA" w:rsidRPr="01C781EA">
        <w:rPr>
          <w:rFonts w:cs="Arial"/>
          <w:kern w:val="32"/>
          <w:lang w:eastAsia="en-GB"/>
        </w:rPr>
        <w:t xml:space="preserve"> of commissioned service performance data</w:t>
      </w:r>
      <w:r w:rsidRPr="01C781EA">
        <w:rPr>
          <w:rFonts w:cs="Arial"/>
          <w:kern w:val="32"/>
          <w:lang w:eastAsia="en-GB"/>
        </w:rPr>
        <w:t>;</w:t>
      </w:r>
    </w:p>
    <w:p w14:paraId="12E5E180" w14:textId="1C1E41A3" w:rsidR="00FC5860" w:rsidRDefault="00FC5860" w:rsidP="00FC5860">
      <w:pPr>
        <w:numPr>
          <w:ilvl w:val="0"/>
          <w:numId w:val="38"/>
        </w:numPr>
        <w:spacing w:after="0" w:line="240" w:lineRule="auto"/>
        <w:contextualSpacing/>
        <w:rPr>
          <w:rFonts w:cs="Arial"/>
          <w:bCs/>
          <w:kern w:val="32"/>
          <w:lang w:eastAsia="en-GB"/>
        </w:rPr>
      </w:pPr>
      <w:r w:rsidRPr="0EB0CC45">
        <w:rPr>
          <w:rFonts w:cs="Arial"/>
          <w:kern w:val="32"/>
          <w:lang w:eastAsia="en-GB"/>
        </w:rPr>
        <w:t>Provide critical friend challenge to drive improvement in policing services, without fettering the operational independence of the CC.</w:t>
      </w:r>
    </w:p>
    <w:p w14:paraId="248CE320" w14:textId="1E02847F" w:rsidR="00C801AA" w:rsidRDefault="55C73DDF" w:rsidP="0EB0CC45">
      <w:pPr>
        <w:pStyle w:val="ListParagraph"/>
        <w:numPr>
          <w:ilvl w:val="0"/>
          <w:numId w:val="38"/>
        </w:numPr>
        <w:spacing w:after="0"/>
        <w:contextualSpacing/>
      </w:pPr>
      <w:r w:rsidRPr="0EB0CC45">
        <w:rPr>
          <w:rFonts w:cs="Calibri"/>
        </w:rPr>
        <w:lastRenderedPageBreak/>
        <w:t>The Committee may also consider areas for which the PCC has a duty to convene partners, such as monitoring of compliance with the Victims’ Code of Practice</w:t>
      </w:r>
    </w:p>
    <w:p w14:paraId="33703070" w14:textId="06909C48" w:rsidR="00D9771C" w:rsidRDefault="00D9771C" w:rsidP="00FC5860">
      <w:pPr>
        <w:pStyle w:val="Heading1"/>
        <w:keepLines w:val="0"/>
        <w:pageBreakBefore w:val="0"/>
        <w:numPr>
          <w:ilvl w:val="0"/>
          <w:numId w:val="0"/>
        </w:numPr>
        <w:tabs>
          <w:tab w:val="num" w:pos="432"/>
        </w:tabs>
        <w:spacing w:before="0" w:after="0"/>
        <w:ind w:left="432" w:hanging="432"/>
        <w:contextualSpacing/>
        <w:jc w:val="both"/>
        <w:rPr>
          <w:rFonts w:cs="Arial"/>
          <w:bCs w:val="0"/>
        </w:rPr>
      </w:pPr>
    </w:p>
    <w:p w14:paraId="71FF0E7A" w14:textId="77777777" w:rsidR="008A6347" w:rsidRPr="006E77CA" w:rsidRDefault="008A6347" w:rsidP="008E2C36">
      <w:pPr>
        <w:spacing w:after="0" w:line="240" w:lineRule="auto"/>
        <w:contextualSpacing/>
        <w:jc w:val="both"/>
        <w:rPr>
          <w:rFonts w:asciiTheme="minorHAnsi" w:hAnsiTheme="minorHAnsi" w:cstheme="minorHAnsi"/>
          <w:sz w:val="24"/>
          <w:szCs w:val="24"/>
        </w:rPr>
      </w:pPr>
    </w:p>
    <w:p w14:paraId="60DB5DB2" w14:textId="77777777" w:rsidR="008E2C36" w:rsidRPr="006E77CA" w:rsidRDefault="005C77B6" w:rsidP="008E2C36">
      <w:pPr>
        <w:pStyle w:val="Heading2"/>
        <w:numPr>
          <w:ilvl w:val="0"/>
          <w:numId w:val="0"/>
        </w:numPr>
        <w:spacing w:before="0" w:after="0"/>
        <w:contextualSpacing/>
        <w:rPr>
          <w:rFonts w:asciiTheme="minorHAnsi" w:hAnsiTheme="minorHAnsi" w:cstheme="minorHAnsi"/>
          <w:szCs w:val="24"/>
        </w:rPr>
      </w:pPr>
      <w:r w:rsidRPr="006E77CA">
        <w:rPr>
          <w:rFonts w:asciiTheme="minorHAnsi" w:hAnsiTheme="minorHAnsi" w:cstheme="minorHAnsi"/>
          <w:szCs w:val="24"/>
          <w:lang w:val="en-GB"/>
        </w:rPr>
        <w:t>5</w:t>
      </w:r>
      <w:r w:rsidR="008E2C36" w:rsidRPr="006E77CA">
        <w:rPr>
          <w:rFonts w:asciiTheme="minorHAnsi" w:hAnsiTheme="minorHAnsi" w:cstheme="minorHAnsi"/>
          <w:szCs w:val="24"/>
        </w:rPr>
        <w:t>. MEMBERSHIP</w:t>
      </w:r>
    </w:p>
    <w:p w14:paraId="5AA66DC6" w14:textId="77777777" w:rsidR="008E2C36" w:rsidRPr="006E77CA" w:rsidRDefault="008E2C36" w:rsidP="008E2C36">
      <w:pPr>
        <w:spacing w:after="0" w:line="240" w:lineRule="auto"/>
        <w:contextualSpacing/>
        <w:jc w:val="both"/>
        <w:rPr>
          <w:rFonts w:asciiTheme="minorHAnsi" w:hAnsiTheme="minorHAnsi" w:cstheme="minorHAnsi"/>
          <w:sz w:val="24"/>
          <w:szCs w:val="24"/>
        </w:rPr>
      </w:pPr>
    </w:p>
    <w:p w14:paraId="3DCE254A" w14:textId="77777777" w:rsidR="00D9771C" w:rsidRDefault="00D9771C" w:rsidP="00D9771C">
      <w:pPr>
        <w:spacing w:after="0" w:line="240" w:lineRule="auto"/>
        <w:contextualSpacing/>
        <w:rPr>
          <w:rFonts w:cs="Arial"/>
        </w:rPr>
      </w:pPr>
      <w:r>
        <w:rPr>
          <w:rFonts w:cs="Arial"/>
        </w:rPr>
        <w:t>The board will comprise of the following core members (or nominated representative):</w:t>
      </w:r>
    </w:p>
    <w:p w14:paraId="287951FD" w14:textId="77777777" w:rsidR="00D9771C" w:rsidRDefault="00D9771C" w:rsidP="00D9771C">
      <w:pPr>
        <w:spacing w:after="0" w:line="240" w:lineRule="auto"/>
        <w:contextualSpacing/>
        <w:rPr>
          <w:rFonts w:cs="Arial"/>
        </w:rPr>
      </w:pPr>
    </w:p>
    <w:tbl>
      <w:tblPr>
        <w:tblW w:w="0" w:type="auto"/>
        <w:tblLook w:val="04A0" w:firstRow="1" w:lastRow="0" w:firstColumn="1" w:lastColumn="0" w:noHBand="0" w:noVBand="1"/>
      </w:tblPr>
      <w:tblGrid>
        <w:gridCol w:w="4726"/>
        <w:gridCol w:w="4726"/>
      </w:tblGrid>
      <w:tr w:rsidR="00D9771C" w14:paraId="77C5E1A1" w14:textId="77777777" w:rsidTr="01C781EA">
        <w:trPr>
          <w:trHeight w:val="173"/>
        </w:trPr>
        <w:tc>
          <w:tcPr>
            <w:tcW w:w="4726" w:type="dxa"/>
            <w:hideMark/>
          </w:tcPr>
          <w:p w14:paraId="514B2309" w14:textId="77777777" w:rsidR="00D9771C" w:rsidRDefault="00D9771C" w:rsidP="00112EC3">
            <w:pPr>
              <w:spacing w:after="0" w:line="240" w:lineRule="auto"/>
              <w:ind w:left="66"/>
              <w:contextualSpacing/>
              <w:rPr>
                <w:rFonts w:cs="Arial"/>
                <w:b/>
                <w:u w:val="single"/>
              </w:rPr>
            </w:pPr>
            <w:r>
              <w:rPr>
                <w:rFonts w:cs="Arial"/>
                <w:b/>
                <w:u w:val="single"/>
              </w:rPr>
              <w:t>Office of the Police and Crime Commissioner</w:t>
            </w:r>
          </w:p>
        </w:tc>
        <w:tc>
          <w:tcPr>
            <w:tcW w:w="4726" w:type="dxa"/>
            <w:hideMark/>
          </w:tcPr>
          <w:p w14:paraId="4A8BFF17" w14:textId="77777777" w:rsidR="00D9771C" w:rsidRDefault="00D9771C" w:rsidP="00112EC3">
            <w:pPr>
              <w:pStyle w:val="ListParagraph"/>
              <w:spacing w:after="0" w:line="240" w:lineRule="auto"/>
              <w:ind w:left="0"/>
              <w:rPr>
                <w:rFonts w:cs="Arial"/>
                <w:b/>
                <w:u w:val="single"/>
              </w:rPr>
            </w:pPr>
            <w:r>
              <w:rPr>
                <w:rFonts w:cs="Arial"/>
                <w:b/>
                <w:u w:val="single"/>
              </w:rPr>
              <w:t>Dyfed-Powys Police</w:t>
            </w:r>
          </w:p>
        </w:tc>
      </w:tr>
      <w:tr w:rsidR="00D9771C" w14:paraId="792E22D2" w14:textId="77777777" w:rsidTr="01C781EA">
        <w:trPr>
          <w:trHeight w:val="356"/>
        </w:trPr>
        <w:tc>
          <w:tcPr>
            <w:tcW w:w="4726" w:type="dxa"/>
            <w:hideMark/>
          </w:tcPr>
          <w:p w14:paraId="0A044459" w14:textId="77777777" w:rsidR="00D9771C" w:rsidRDefault="00D9771C" w:rsidP="00D9771C">
            <w:pPr>
              <w:numPr>
                <w:ilvl w:val="0"/>
                <w:numId w:val="12"/>
              </w:numPr>
              <w:spacing w:after="0" w:line="240" w:lineRule="auto"/>
              <w:ind w:left="426"/>
              <w:contextualSpacing/>
              <w:rPr>
                <w:rFonts w:cs="Arial"/>
              </w:rPr>
            </w:pPr>
            <w:r>
              <w:rPr>
                <w:rFonts w:cs="Arial"/>
              </w:rPr>
              <w:t>Police and Crime Commissioner</w:t>
            </w:r>
          </w:p>
          <w:p w14:paraId="7D6DDA3E" w14:textId="0EB12251" w:rsidR="00E35F43" w:rsidRDefault="00E35F43" w:rsidP="00D9771C">
            <w:pPr>
              <w:numPr>
                <w:ilvl w:val="0"/>
                <w:numId w:val="12"/>
              </w:numPr>
              <w:spacing w:after="0" w:line="240" w:lineRule="auto"/>
              <w:ind w:left="426"/>
              <w:contextualSpacing/>
              <w:rPr>
                <w:rFonts w:cs="Arial"/>
              </w:rPr>
            </w:pPr>
            <w:r w:rsidRPr="01C781EA">
              <w:rPr>
                <w:rFonts w:cs="Arial"/>
              </w:rPr>
              <w:t>Chief Executive</w:t>
            </w:r>
            <w:r w:rsidR="00756EE6" w:rsidRPr="01C781EA">
              <w:rPr>
                <w:rFonts w:cs="Arial"/>
              </w:rPr>
              <w:t xml:space="preserve"> and Monitoring Officer</w:t>
            </w:r>
          </w:p>
        </w:tc>
        <w:tc>
          <w:tcPr>
            <w:tcW w:w="4726" w:type="dxa"/>
            <w:hideMark/>
          </w:tcPr>
          <w:p w14:paraId="21C675AE" w14:textId="77777777" w:rsidR="00D9771C" w:rsidRDefault="00D9771C" w:rsidP="00D9771C">
            <w:pPr>
              <w:pStyle w:val="ListParagraph"/>
              <w:numPr>
                <w:ilvl w:val="0"/>
                <w:numId w:val="12"/>
              </w:numPr>
              <w:spacing w:after="0" w:line="240" w:lineRule="auto"/>
              <w:contextualSpacing/>
              <w:rPr>
                <w:rFonts w:cs="Arial"/>
              </w:rPr>
            </w:pPr>
            <w:r>
              <w:rPr>
                <w:rFonts w:cs="Arial"/>
              </w:rPr>
              <w:t>Chief Constable</w:t>
            </w:r>
          </w:p>
          <w:p w14:paraId="7A5A66FE" w14:textId="6614A481" w:rsidR="0061673F" w:rsidRDefault="0061673F" w:rsidP="00D9771C">
            <w:pPr>
              <w:pStyle w:val="ListParagraph"/>
              <w:numPr>
                <w:ilvl w:val="0"/>
                <w:numId w:val="12"/>
              </w:numPr>
              <w:spacing w:after="0" w:line="240" w:lineRule="auto"/>
              <w:contextualSpacing/>
              <w:rPr>
                <w:rFonts w:cs="Arial"/>
              </w:rPr>
            </w:pPr>
            <w:r>
              <w:rPr>
                <w:rFonts w:cs="Arial"/>
              </w:rPr>
              <w:t>Deputy Chief Constable</w:t>
            </w:r>
          </w:p>
        </w:tc>
      </w:tr>
      <w:tr w:rsidR="00D9771C" w14:paraId="40049994" w14:textId="77777777" w:rsidTr="01C781EA">
        <w:trPr>
          <w:trHeight w:val="182"/>
        </w:trPr>
        <w:tc>
          <w:tcPr>
            <w:tcW w:w="4726" w:type="dxa"/>
            <w:hideMark/>
          </w:tcPr>
          <w:p w14:paraId="42013834" w14:textId="77777777" w:rsidR="00D9771C" w:rsidRDefault="00D9771C" w:rsidP="00D9771C">
            <w:pPr>
              <w:numPr>
                <w:ilvl w:val="0"/>
                <w:numId w:val="12"/>
              </w:numPr>
              <w:spacing w:after="0" w:line="240" w:lineRule="auto"/>
              <w:ind w:left="426"/>
              <w:contextualSpacing/>
              <w:rPr>
                <w:rFonts w:cs="Arial"/>
              </w:rPr>
            </w:pPr>
            <w:r w:rsidRPr="01C781EA">
              <w:rPr>
                <w:rFonts w:cs="Arial"/>
              </w:rPr>
              <w:t>Chief Finance Officer</w:t>
            </w:r>
          </w:p>
          <w:p w14:paraId="1053FC22" w14:textId="77777777" w:rsidR="00756EE6" w:rsidRDefault="00756EE6" w:rsidP="00D9771C">
            <w:pPr>
              <w:numPr>
                <w:ilvl w:val="0"/>
                <w:numId w:val="12"/>
              </w:numPr>
              <w:spacing w:after="0" w:line="240" w:lineRule="auto"/>
              <w:ind w:left="426"/>
              <w:contextualSpacing/>
              <w:rPr>
                <w:rFonts w:cs="Arial"/>
              </w:rPr>
            </w:pPr>
            <w:r w:rsidRPr="01C781EA">
              <w:rPr>
                <w:rFonts w:cs="Arial"/>
              </w:rPr>
              <w:t>Director of Commissioning and Partnerships</w:t>
            </w:r>
          </w:p>
          <w:p w14:paraId="645B49CE" w14:textId="77777777" w:rsidR="00756EE6" w:rsidRPr="000463C1" w:rsidRDefault="00756EE6" w:rsidP="00756EE6">
            <w:pPr>
              <w:numPr>
                <w:ilvl w:val="0"/>
                <w:numId w:val="12"/>
              </w:numPr>
              <w:spacing w:after="0" w:line="240" w:lineRule="auto"/>
              <w:ind w:left="426"/>
              <w:contextualSpacing/>
              <w:rPr>
                <w:rFonts w:cs="Arial"/>
              </w:rPr>
            </w:pPr>
            <w:r w:rsidRPr="01C781EA">
              <w:rPr>
                <w:rFonts w:cs="Arial"/>
              </w:rPr>
              <w:t>Head of Strategy and Policy</w:t>
            </w:r>
          </w:p>
          <w:p w14:paraId="79FAB890" w14:textId="51D144D8" w:rsidR="00756EE6" w:rsidRDefault="00756EE6" w:rsidP="01C781EA">
            <w:pPr>
              <w:spacing w:after="0" w:line="240" w:lineRule="auto"/>
              <w:ind w:left="426"/>
              <w:contextualSpacing/>
              <w:rPr>
                <w:rFonts w:cs="Arial"/>
              </w:rPr>
            </w:pPr>
          </w:p>
        </w:tc>
        <w:tc>
          <w:tcPr>
            <w:tcW w:w="4726" w:type="dxa"/>
            <w:hideMark/>
          </w:tcPr>
          <w:p w14:paraId="396BA6B6" w14:textId="77777777" w:rsidR="00D9771C" w:rsidRDefault="0061673F" w:rsidP="00D9771C">
            <w:pPr>
              <w:pStyle w:val="ListParagraph"/>
              <w:numPr>
                <w:ilvl w:val="0"/>
                <w:numId w:val="12"/>
              </w:numPr>
              <w:spacing w:after="0" w:line="240" w:lineRule="auto"/>
              <w:contextualSpacing/>
              <w:rPr>
                <w:rFonts w:cs="Arial"/>
              </w:rPr>
            </w:pPr>
            <w:r w:rsidRPr="01C781EA">
              <w:rPr>
                <w:rFonts w:cs="Arial"/>
              </w:rPr>
              <w:t>Assistant Chief Constable</w:t>
            </w:r>
          </w:p>
          <w:p w14:paraId="515BA75B" w14:textId="77777777" w:rsidR="00756EE6" w:rsidRDefault="00756EE6" w:rsidP="00756EE6">
            <w:pPr>
              <w:pStyle w:val="ListParagraph"/>
              <w:numPr>
                <w:ilvl w:val="0"/>
                <w:numId w:val="12"/>
              </w:numPr>
              <w:spacing w:after="0" w:line="240" w:lineRule="auto"/>
              <w:contextualSpacing/>
              <w:rPr>
                <w:rFonts w:cs="Arial"/>
              </w:rPr>
            </w:pPr>
            <w:r w:rsidRPr="01C781EA">
              <w:rPr>
                <w:rFonts w:cs="Arial"/>
              </w:rPr>
              <w:t>Director of Finance</w:t>
            </w:r>
          </w:p>
          <w:p w14:paraId="22876A45" w14:textId="44304079" w:rsidR="00756EE6" w:rsidRDefault="00756EE6" w:rsidP="00756EE6">
            <w:pPr>
              <w:pStyle w:val="ListParagraph"/>
              <w:numPr>
                <w:ilvl w:val="0"/>
                <w:numId w:val="12"/>
              </w:numPr>
              <w:spacing w:after="0" w:line="240" w:lineRule="auto"/>
              <w:contextualSpacing/>
              <w:rPr>
                <w:rFonts w:cs="Arial"/>
              </w:rPr>
            </w:pPr>
            <w:r w:rsidRPr="01C781EA">
              <w:rPr>
                <w:rFonts w:cs="Arial"/>
              </w:rPr>
              <w:t>Director of People and Organisational Development</w:t>
            </w:r>
          </w:p>
        </w:tc>
      </w:tr>
      <w:tr w:rsidR="00D9771C" w14:paraId="0EC74CB3" w14:textId="77777777" w:rsidTr="01C781EA">
        <w:trPr>
          <w:trHeight w:val="661"/>
        </w:trPr>
        <w:tc>
          <w:tcPr>
            <w:tcW w:w="4726" w:type="dxa"/>
            <w:hideMark/>
          </w:tcPr>
          <w:p w14:paraId="18C95B63" w14:textId="0C9C386C" w:rsidR="00D9771C" w:rsidRDefault="00D9771C" w:rsidP="000463C1">
            <w:pPr>
              <w:spacing w:after="0" w:line="240" w:lineRule="auto"/>
              <w:ind w:left="426"/>
              <w:contextualSpacing/>
              <w:rPr>
                <w:rFonts w:cs="Arial"/>
              </w:rPr>
            </w:pPr>
          </w:p>
        </w:tc>
        <w:tc>
          <w:tcPr>
            <w:tcW w:w="4726" w:type="dxa"/>
            <w:hideMark/>
          </w:tcPr>
          <w:p w14:paraId="7FC39F68" w14:textId="278B0A13" w:rsidR="00E35F43" w:rsidRDefault="00E35F43" w:rsidP="0061673F">
            <w:pPr>
              <w:pStyle w:val="ListParagraph"/>
              <w:spacing w:after="0" w:line="240" w:lineRule="auto"/>
              <w:contextualSpacing/>
              <w:rPr>
                <w:rFonts w:cs="Arial"/>
              </w:rPr>
            </w:pPr>
          </w:p>
        </w:tc>
      </w:tr>
    </w:tbl>
    <w:p w14:paraId="47F68089" w14:textId="77777777" w:rsidR="00D9771C" w:rsidRDefault="00D9771C" w:rsidP="00756EE6">
      <w:pPr>
        <w:spacing w:after="0" w:line="240" w:lineRule="auto"/>
        <w:contextualSpacing/>
        <w:rPr>
          <w:rFonts w:cs="Arial"/>
        </w:rPr>
      </w:pPr>
      <w:r>
        <w:rPr>
          <w:rFonts w:cs="Arial"/>
        </w:rPr>
        <w:t>Both the PCC and CC may vary attendance and invite other attendees at their discretion to provide professional advice to the Board.</w:t>
      </w:r>
    </w:p>
    <w:p w14:paraId="56ADE128" w14:textId="77777777" w:rsidR="00D9771C" w:rsidRDefault="00D9771C" w:rsidP="00D9771C">
      <w:pPr>
        <w:spacing w:after="0" w:line="240" w:lineRule="auto"/>
        <w:contextualSpacing/>
        <w:rPr>
          <w:rFonts w:cs="Arial"/>
        </w:rPr>
      </w:pPr>
    </w:p>
    <w:p w14:paraId="375EBF0F" w14:textId="031FAB72" w:rsidR="00303841" w:rsidRDefault="00303841" w:rsidP="00D9771C">
      <w:pPr>
        <w:spacing w:after="0" w:line="240" w:lineRule="auto"/>
        <w:contextualSpacing/>
        <w:rPr>
          <w:rFonts w:cs="Arial"/>
        </w:rPr>
      </w:pPr>
      <w:r>
        <w:rPr>
          <w:rFonts w:cs="Arial"/>
        </w:rPr>
        <w:t>Members of the Police and Crime Panel can attend mee</w:t>
      </w:r>
      <w:r w:rsidR="008C3F42">
        <w:rPr>
          <w:rFonts w:cs="Arial"/>
        </w:rPr>
        <w:t xml:space="preserve">tings as observers. </w:t>
      </w:r>
    </w:p>
    <w:p w14:paraId="4B6260C7" w14:textId="77777777" w:rsidR="008C3F42" w:rsidRDefault="008C3F42" w:rsidP="00D9771C">
      <w:pPr>
        <w:spacing w:after="0" w:line="240" w:lineRule="auto"/>
        <w:contextualSpacing/>
        <w:rPr>
          <w:rFonts w:cs="Arial"/>
        </w:rPr>
      </w:pPr>
    </w:p>
    <w:p w14:paraId="67A3B01E" w14:textId="1AB2AD86" w:rsidR="00D9771C" w:rsidRDefault="00D9771C" w:rsidP="00D9771C">
      <w:pPr>
        <w:spacing w:after="0" w:line="240" w:lineRule="auto"/>
        <w:contextualSpacing/>
        <w:rPr>
          <w:rFonts w:cs="Arial"/>
        </w:rPr>
      </w:pPr>
      <w:r w:rsidRPr="01C781EA">
        <w:rPr>
          <w:rFonts w:cs="Arial"/>
        </w:rPr>
        <w:t xml:space="preserve">The Board will </w:t>
      </w:r>
      <w:r w:rsidR="0061673F" w:rsidRPr="01C781EA">
        <w:rPr>
          <w:rFonts w:asciiTheme="minorHAnsi" w:hAnsiTheme="minorHAnsi"/>
        </w:rPr>
        <w:t xml:space="preserve">meet quarterly or at such shorter intervals as shall be agreed between the PCC and the CC. </w:t>
      </w:r>
    </w:p>
    <w:p w14:paraId="13F3CD1E" w14:textId="77777777" w:rsidR="002F5484" w:rsidRDefault="002F5484" w:rsidP="00D9771C">
      <w:pPr>
        <w:spacing w:after="0" w:line="240" w:lineRule="auto"/>
        <w:contextualSpacing/>
        <w:rPr>
          <w:rFonts w:cs="Arial"/>
        </w:rPr>
      </w:pPr>
    </w:p>
    <w:p w14:paraId="1A31D137" w14:textId="3D78BABB" w:rsidR="002F5484" w:rsidRDefault="002F5484" w:rsidP="00D9771C">
      <w:pPr>
        <w:spacing w:after="0" w:line="240" w:lineRule="auto"/>
        <w:contextualSpacing/>
        <w:rPr>
          <w:rFonts w:cs="Arial"/>
        </w:rPr>
      </w:pPr>
      <w:r>
        <w:rPr>
          <w:rFonts w:cs="Arial"/>
        </w:rPr>
        <w:t xml:space="preserve">The meeting will be webcast and actively promoted. </w:t>
      </w:r>
    </w:p>
    <w:p w14:paraId="0DA86105" w14:textId="77777777" w:rsidR="000A72AE" w:rsidRPr="006E77CA" w:rsidRDefault="000A72AE" w:rsidP="000A72AE">
      <w:pPr>
        <w:pStyle w:val="NoSpacing"/>
        <w:rPr>
          <w:rFonts w:asciiTheme="minorHAnsi" w:hAnsiTheme="minorHAnsi" w:cstheme="minorHAnsi"/>
          <w:sz w:val="24"/>
          <w:szCs w:val="24"/>
        </w:rPr>
      </w:pPr>
    </w:p>
    <w:p w14:paraId="0F9EA26F" w14:textId="77777777" w:rsidR="009D3472" w:rsidRPr="006E77CA" w:rsidRDefault="00B14503" w:rsidP="001462F7">
      <w:pPr>
        <w:pStyle w:val="Heading2"/>
        <w:numPr>
          <w:ilvl w:val="1"/>
          <w:numId w:val="0"/>
        </w:numPr>
        <w:tabs>
          <w:tab w:val="num" w:pos="576"/>
        </w:tabs>
        <w:spacing w:before="0" w:after="0"/>
        <w:ind w:left="576" w:hanging="576"/>
        <w:contextualSpacing/>
        <w:jc w:val="both"/>
        <w:rPr>
          <w:rFonts w:asciiTheme="minorHAnsi" w:hAnsiTheme="minorHAnsi" w:cstheme="minorHAnsi"/>
          <w:szCs w:val="24"/>
        </w:rPr>
      </w:pPr>
      <w:r w:rsidRPr="006E77CA">
        <w:rPr>
          <w:rFonts w:asciiTheme="minorHAnsi" w:hAnsiTheme="minorHAnsi" w:cstheme="minorHAnsi"/>
          <w:szCs w:val="24"/>
          <w:lang w:val="en-GB"/>
        </w:rPr>
        <w:t>6</w:t>
      </w:r>
      <w:r w:rsidR="000F688B" w:rsidRPr="006E77CA">
        <w:rPr>
          <w:rFonts w:asciiTheme="minorHAnsi" w:hAnsiTheme="minorHAnsi" w:cstheme="minorHAnsi"/>
          <w:szCs w:val="24"/>
        </w:rPr>
        <w:t xml:space="preserve">. </w:t>
      </w:r>
      <w:r w:rsidR="009D3472" w:rsidRPr="006E77CA">
        <w:rPr>
          <w:rFonts w:asciiTheme="minorHAnsi" w:hAnsiTheme="minorHAnsi" w:cstheme="minorHAnsi"/>
          <w:szCs w:val="24"/>
        </w:rPr>
        <w:t>SECRETARIAT</w:t>
      </w:r>
    </w:p>
    <w:p w14:paraId="1D0702DC" w14:textId="77777777" w:rsidR="00E34CDF" w:rsidRDefault="00E34CDF" w:rsidP="00D9771C">
      <w:pPr>
        <w:spacing w:after="0" w:line="240" w:lineRule="auto"/>
        <w:contextualSpacing/>
        <w:rPr>
          <w:rFonts w:cs="Arial"/>
        </w:rPr>
      </w:pPr>
    </w:p>
    <w:p w14:paraId="71E21B82" w14:textId="671C8E66" w:rsidR="006F08F5" w:rsidRDefault="006F08F5" w:rsidP="006F08F5">
      <w:pPr>
        <w:spacing w:after="0" w:line="240" w:lineRule="auto"/>
        <w:contextualSpacing/>
        <w:rPr>
          <w:rFonts w:cs="Arial"/>
        </w:rPr>
      </w:pPr>
      <w:r w:rsidRPr="13372133">
        <w:rPr>
          <w:rFonts w:cs="Arial"/>
        </w:rPr>
        <w:t>The OPCC is responsible for the preparation, distribution and maintenance of papers relating to the Strategic Performance Board</w:t>
      </w:r>
      <w:r w:rsidR="055073B2" w:rsidRPr="13372133">
        <w:rPr>
          <w:rFonts w:cs="Arial"/>
        </w:rPr>
        <w:t xml:space="preserve">. </w:t>
      </w:r>
      <w:r w:rsidRPr="13372133">
        <w:rPr>
          <w:rFonts w:cs="Arial"/>
        </w:rPr>
        <w:t>This will include the management and publication of the minutes and the compilation of meeting agendas and papers</w:t>
      </w:r>
      <w:r w:rsidR="5B215063" w:rsidRPr="13372133">
        <w:rPr>
          <w:rFonts w:cs="Arial"/>
        </w:rPr>
        <w:t xml:space="preserve">. </w:t>
      </w:r>
      <w:r w:rsidRPr="13372133">
        <w:rPr>
          <w:rFonts w:cs="Arial"/>
        </w:rPr>
        <w:t>The CC’s Staff Officer is responsible for ensuring Force papers are submitted in line with the timescales below and will communicate outcomes and actions to relevant staff in the Force.  The OPCC Executive Support Officer will communicate outcomes and actions to relevant OPCC staff.</w:t>
      </w:r>
    </w:p>
    <w:p w14:paraId="7C8E9092" w14:textId="77777777" w:rsidR="006F08F5" w:rsidRDefault="006F08F5" w:rsidP="006F08F5">
      <w:pPr>
        <w:spacing w:after="0" w:line="240" w:lineRule="auto"/>
        <w:contextualSpacing/>
        <w:rPr>
          <w:rFonts w:cs="Arial"/>
        </w:rPr>
      </w:pPr>
    </w:p>
    <w:p w14:paraId="0487D1CA" w14:textId="1489DF30" w:rsidR="00D9771C" w:rsidRDefault="00D9771C" w:rsidP="55C70BD7">
      <w:pPr>
        <w:spacing w:after="0" w:line="240" w:lineRule="auto"/>
        <w:contextualSpacing/>
        <w:rPr>
          <w:rFonts w:cs="Arial"/>
        </w:rPr>
      </w:pPr>
      <w:r w:rsidRPr="13372133">
        <w:rPr>
          <w:rFonts w:cs="Arial"/>
        </w:rPr>
        <w:t xml:space="preserve">An agenda and associated reports for the </w:t>
      </w:r>
      <w:r w:rsidR="00654C40" w:rsidRPr="13372133">
        <w:rPr>
          <w:rFonts w:cs="Arial"/>
        </w:rPr>
        <w:t>Strategic Performance</w:t>
      </w:r>
      <w:r w:rsidRPr="13372133">
        <w:rPr>
          <w:rFonts w:cs="Arial"/>
        </w:rPr>
        <w:t xml:space="preserve"> Board will be circulated to Members no later than </w:t>
      </w:r>
      <w:r w:rsidR="006F08F5" w:rsidRPr="13372133">
        <w:rPr>
          <w:rFonts w:cs="Arial"/>
        </w:rPr>
        <w:t>7</w:t>
      </w:r>
      <w:r w:rsidRPr="13372133">
        <w:rPr>
          <w:rFonts w:cs="Arial"/>
        </w:rPr>
        <w:t xml:space="preserve"> days in advance of the meeting.  As such, papers for consideration at the </w:t>
      </w:r>
      <w:r w:rsidR="000463C1" w:rsidRPr="13372133">
        <w:rPr>
          <w:rFonts w:cs="Arial"/>
        </w:rPr>
        <w:t>Strategic Performance</w:t>
      </w:r>
      <w:r w:rsidRPr="13372133">
        <w:rPr>
          <w:rFonts w:cs="Arial"/>
        </w:rPr>
        <w:t xml:space="preserve"> Board are to be received by the OPCC Executive Support Officer </w:t>
      </w:r>
      <w:r w:rsidR="006F08F5" w:rsidRPr="13372133">
        <w:rPr>
          <w:rFonts w:cs="Arial"/>
        </w:rPr>
        <w:t>8</w:t>
      </w:r>
      <w:r w:rsidRPr="13372133">
        <w:rPr>
          <w:rFonts w:cs="Arial"/>
        </w:rPr>
        <w:t xml:space="preserve"> days in advance of the meeting.</w:t>
      </w:r>
      <w:r w:rsidR="7FF8D2FA" w:rsidRPr="13372133">
        <w:rPr>
          <w:rFonts w:cs="Arial"/>
        </w:rPr>
        <w:t xml:space="preserve"> Urgent or late reports will need to be approved by the Chief </w:t>
      </w:r>
      <w:r w:rsidR="000463C1" w:rsidRPr="13372133">
        <w:rPr>
          <w:rFonts w:cs="Arial"/>
        </w:rPr>
        <w:t>Executive</w:t>
      </w:r>
      <w:r w:rsidRPr="13372133">
        <w:rPr>
          <w:rFonts w:cs="Arial"/>
        </w:rPr>
        <w:t xml:space="preserve"> before inclusion for consideration by the Board.</w:t>
      </w:r>
    </w:p>
    <w:p w14:paraId="77832B7E" w14:textId="49D489B5" w:rsidR="00D9771C" w:rsidRDefault="00D9771C" w:rsidP="55C70BD7">
      <w:pPr>
        <w:spacing w:after="0" w:line="240" w:lineRule="auto"/>
        <w:contextualSpacing/>
        <w:rPr>
          <w:rFonts w:cs="Arial"/>
        </w:rPr>
      </w:pPr>
    </w:p>
    <w:p w14:paraId="7E287ECD" w14:textId="4324564E" w:rsidR="00D9771C" w:rsidRDefault="00D9771C" w:rsidP="00D9771C">
      <w:pPr>
        <w:spacing w:after="0" w:line="240" w:lineRule="auto"/>
        <w:contextualSpacing/>
        <w:rPr>
          <w:rFonts w:cs="Arial"/>
        </w:rPr>
      </w:pPr>
      <w:r w:rsidRPr="55C70BD7">
        <w:rPr>
          <w:rFonts w:cs="Arial"/>
        </w:rPr>
        <w:t xml:space="preserve">Papers submitted to the </w:t>
      </w:r>
      <w:r w:rsidR="000463C1" w:rsidRPr="55C70BD7">
        <w:rPr>
          <w:rFonts w:cs="Arial"/>
        </w:rPr>
        <w:t>Strategic Performance</w:t>
      </w:r>
      <w:r w:rsidRPr="55C70BD7">
        <w:rPr>
          <w:rFonts w:cs="Arial"/>
        </w:rPr>
        <w:t xml:space="preserve"> </w:t>
      </w:r>
      <w:r w:rsidR="006F08F5" w:rsidRPr="55C70BD7">
        <w:rPr>
          <w:rFonts w:cs="Arial"/>
        </w:rPr>
        <w:t>B</w:t>
      </w:r>
      <w:r w:rsidRPr="55C70BD7">
        <w:rPr>
          <w:rFonts w:cs="Arial"/>
        </w:rPr>
        <w:t xml:space="preserve">oard must be presented in an agreed format. </w:t>
      </w:r>
      <w:r w:rsidRPr="55C70BD7">
        <w:rPr>
          <w:rFonts w:cs="Calibri"/>
        </w:rPr>
        <w:t xml:space="preserve">All papers received will need to be appropriately marked in accordance with the Government Security Classification </w:t>
      </w:r>
      <w:r w:rsidR="006F08F5" w:rsidRPr="55C70BD7">
        <w:rPr>
          <w:rFonts w:cs="Calibri"/>
        </w:rPr>
        <w:t xml:space="preserve">Policy </w:t>
      </w:r>
      <w:r w:rsidRPr="55C70BD7">
        <w:rPr>
          <w:rFonts w:cs="Calibri"/>
        </w:rPr>
        <w:t>to safeguard against inappropriate disclosure.</w:t>
      </w:r>
    </w:p>
    <w:p w14:paraId="72956C3D" w14:textId="77777777" w:rsidR="00D9771C" w:rsidRDefault="00D9771C" w:rsidP="00D9771C">
      <w:pPr>
        <w:spacing w:after="0" w:line="240" w:lineRule="auto"/>
        <w:contextualSpacing/>
        <w:rPr>
          <w:rFonts w:cs="Arial"/>
        </w:rPr>
      </w:pPr>
    </w:p>
    <w:p w14:paraId="69666468" w14:textId="0535F943" w:rsidR="00D9771C" w:rsidRDefault="00D9771C" w:rsidP="00D9771C">
      <w:pPr>
        <w:spacing w:after="0" w:line="240" w:lineRule="auto"/>
        <w:contextualSpacing/>
        <w:rPr>
          <w:rFonts w:cs="Arial"/>
        </w:rPr>
      </w:pPr>
      <w:r w:rsidRPr="13372133">
        <w:rPr>
          <w:rFonts w:cs="Arial"/>
        </w:rPr>
        <w:t xml:space="preserve">Matters discussed at the </w:t>
      </w:r>
      <w:r w:rsidR="000463C1" w:rsidRPr="13372133">
        <w:rPr>
          <w:rFonts w:cs="Arial"/>
        </w:rPr>
        <w:t>Strategic Performance</w:t>
      </w:r>
      <w:r w:rsidRPr="13372133">
        <w:rPr>
          <w:rFonts w:cs="Arial"/>
        </w:rPr>
        <w:t xml:space="preserve"> Board which have operational sensitivity, relate to personal information or have commercial sensitivity will either be made public at an appropriate time in the future or be retained by the OPCC</w:t>
      </w:r>
      <w:r w:rsidR="25CD9D03" w:rsidRPr="13372133">
        <w:rPr>
          <w:rFonts w:cs="Arial"/>
        </w:rPr>
        <w:t xml:space="preserve">. </w:t>
      </w:r>
      <w:r w:rsidRPr="13372133">
        <w:rPr>
          <w:rFonts w:cs="Arial"/>
        </w:rPr>
        <w:t xml:space="preserve">The decisions relating to the public release of information will be </w:t>
      </w:r>
      <w:r w:rsidRPr="13372133">
        <w:rPr>
          <w:rFonts w:cs="Arial"/>
        </w:rPr>
        <w:lastRenderedPageBreak/>
        <w:t xml:space="preserve">made in accordance </w:t>
      </w:r>
      <w:r w:rsidR="729D63AC" w:rsidRPr="13372133">
        <w:rPr>
          <w:rFonts w:cs="Arial"/>
        </w:rPr>
        <w:t>with</w:t>
      </w:r>
      <w:r w:rsidRPr="13372133">
        <w:rPr>
          <w:rFonts w:cs="Arial"/>
        </w:rPr>
        <w:t xml:space="preserve"> the Freedom of Information Act and other statutory instruments or regulations which are applicable to the policing service and the Commissioner.</w:t>
      </w:r>
    </w:p>
    <w:p w14:paraId="1826DA8D" w14:textId="77777777" w:rsidR="000A72AE" w:rsidRPr="006E77CA" w:rsidRDefault="000A72AE" w:rsidP="001462F7">
      <w:pPr>
        <w:spacing w:after="0" w:line="240" w:lineRule="auto"/>
        <w:contextualSpacing/>
        <w:jc w:val="both"/>
        <w:rPr>
          <w:rFonts w:asciiTheme="minorHAnsi" w:hAnsiTheme="minorHAnsi" w:cstheme="minorHAnsi"/>
          <w:sz w:val="24"/>
          <w:szCs w:val="24"/>
        </w:rPr>
      </w:pPr>
    </w:p>
    <w:p w14:paraId="259B14DD" w14:textId="77777777" w:rsidR="00990B54" w:rsidRPr="006E77CA" w:rsidRDefault="00990B54" w:rsidP="00990B54">
      <w:pPr>
        <w:numPr>
          <w:ilvl w:val="0"/>
          <w:numId w:val="13"/>
        </w:numPr>
        <w:spacing w:after="0" w:line="240" w:lineRule="auto"/>
        <w:ind w:left="284" w:hanging="284"/>
        <w:contextualSpacing/>
        <w:jc w:val="both"/>
        <w:rPr>
          <w:rFonts w:asciiTheme="minorHAnsi" w:hAnsiTheme="minorHAnsi" w:cstheme="minorHAnsi"/>
          <w:b/>
          <w:sz w:val="24"/>
          <w:szCs w:val="24"/>
        </w:rPr>
      </w:pPr>
      <w:r w:rsidRPr="006E77CA">
        <w:rPr>
          <w:rFonts w:asciiTheme="minorHAnsi" w:hAnsiTheme="minorHAnsi" w:cstheme="minorHAnsi"/>
          <w:b/>
          <w:sz w:val="24"/>
          <w:szCs w:val="24"/>
        </w:rPr>
        <w:t>VERSION CONTROL AND REVIEW DATE</w:t>
      </w:r>
    </w:p>
    <w:p w14:paraId="497C1A42" w14:textId="77777777" w:rsidR="00990B54" w:rsidRPr="006E77CA" w:rsidRDefault="00990B54" w:rsidP="00990B54">
      <w:pPr>
        <w:autoSpaceDE w:val="0"/>
        <w:autoSpaceDN w:val="0"/>
        <w:adjustRightInd w:val="0"/>
        <w:spacing w:after="0" w:line="240" w:lineRule="auto"/>
        <w:rPr>
          <w:rFonts w:asciiTheme="minorHAnsi" w:hAnsiTheme="minorHAnsi" w:cstheme="minorHAns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509"/>
      </w:tblGrid>
      <w:tr w:rsidR="00990B54" w:rsidRPr="006E77CA" w14:paraId="1035CC94" w14:textId="77777777" w:rsidTr="0EB0CC45">
        <w:tc>
          <w:tcPr>
            <w:tcW w:w="1951" w:type="dxa"/>
            <w:shd w:val="clear" w:color="auto" w:fill="auto"/>
          </w:tcPr>
          <w:p w14:paraId="390823C1" w14:textId="77777777" w:rsidR="00990B54" w:rsidRPr="009C5B5D" w:rsidRDefault="00990B54" w:rsidP="00A210DA">
            <w:pPr>
              <w:autoSpaceDE w:val="0"/>
              <w:autoSpaceDN w:val="0"/>
              <w:adjustRightInd w:val="0"/>
              <w:spacing w:after="0" w:line="240" w:lineRule="auto"/>
              <w:rPr>
                <w:rFonts w:cs="Arial"/>
              </w:rPr>
            </w:pPr>
            <w:r w:rsidRPr="009C5B5D">
              <w:rPr>
                <w:rFonts w:cs="Arial"/>
              </w:rPr>
              <w:t xml:space="preserve">Version: </w:t>
            </w:r>
          </w:p>
        </w:tc>
        <w:tc>
          <w:tcPr>
            <w:tcW w:w="4509" w:type="dxa"/>
            <w:shd w:val="clear" w:color="auto" w:fill="auto"/>
          </w:tcPr>
          <w:p w14:paraId="08506B6C" w14:textId="6B766A22" w:rsidR="00990B54" w:rsidRPr="009C5B5D" w:rsidRDefault="40BDDE34" w:rsidP="00A210DA">
            <w:pPr>
              <w:autoSpaceDE w:val="0"/>
              <w:autoSpaceDN w:val="0"/>
              <w:adjustRightInd w:val="0"/>
              <w:spacing w:after="0" w:line="240" w:lineRule="auto"/>
              <w:rPr>
                <w:rFonts w:cs="Arial"/>
              </w:rPr>
            </w:pPr>
            <w:r w:rsidRPr="0EB0CC45">
              <w:rPr>
                <w:rFonts w:cs="Arial"/>
              </w:rPr>
              <w:t>2024-1</w:t>
            </w:r>
          </w:p>
        </w:tc>
      </w:tr>
      <w:tr w:rsidR="00990B54" w:rsidRPr="006E77CA" w14:paraId="35CBA18F" w14:textId="77777777" w:rsidTr="0EB0CC45">
        <w:tc>
          <w:tcPr>
            <w:tcW w:w="1951" w:type="dxa"/>
            <w:shd w:val="clear" w:color="auto" w:fill="auto"/>
          </w:tcPr>
          <w:p w14:paraId="7AF60209" w14:textId="77777777" w:rsidR="00990B54" w:rsidRPr="009C5B5D" w:rsidRDefault="00990B54" w:rsidP="00A210DA">
            <w:pPr>
              <w:autoSpaceDE w:val="0"/>
              <w:autoSpaceDN w:val="0"/>
              <w:adjustRightInd w:val="0"/>
              <w:spacing w:after="0" w:line="240" w:lineRule="auto"/>
              <w:rPr>
                <w:rFonts w:asciiTheme="minorHAnsi" w:hAnsiTheme="minorHAnsi" w:cstheme="minorHAnsi"/>
                <w:lang w:eastAsia="en-GB"/>
              </w:rPr>
            </w:pPr>
            <w:r w:rsidRPr="009C5B5D">
              <w:rPr>
                <w:rFonts w:asciiTheme="minorHAnsi" w:hAnsiTheme="minorHAnsi" w:cstheme="minorHAnsi"/>
                <w:lang w:eastAsia="en-GB"/>
              </w:rPr>
              <w:t>Author:</w:t>
            </w:r>
          </w:p>
        </w:tc>
        <w:tc>
          <w:tcPr>
            <w:tcW w:w="4509" w:type="dxa"/>
            <w:shd w:val="clear" w:color="auto" w:fill="auto"/>
          </w:tcPr>
          <w:p w14:paraId="4AB8FCEB" w14:textId="0525C961" w:rsidR="00990B54" w:rsidRPr="009C5B5D" w:rsidRDefault="006F08F5" w:rsidP="55C70BD7">
            <w:pPr>
              <w:autoSpaceDE w:val="0"/>
              <w:autoSpaceDN w:val="0"/>
              <w:adjustRightInd w:val="0"/>
              <w:spacing w:after="0" w:line="240" w:lineRule="auto"/>
              <w:rPr>
                <w:rFonts w:asciiTheme="minorHAnsi" w:hAnsiTheme="minorHAnsi" w:cstheme="minorBidi"/>
                <w:lang w:eastAsia="en-GB"/>
              </w:rPr>
            </w:pPr>
            <w:r w:rsidRPr="55C70BD7">
              <w:rPr>
                <w:rFonts w:asciiTheme="minorHAnsi" w:hAnsiTheme="minorHAnsi" w:cstheme="minorBidi"/>
                <w:lang w:eastAsia="en-GB"/>
              </w:rPr>
              <w:t>Sophie Morgan, Executive Support Officer</w:t>
            </w:r>
          </w:p>
        </w:tc>
      </w:tr>
      <w:tr w:rsidR="00990B54" w:rsidRPr="006E77CA" w14:paraId="50C5A96A" w14:textId="77777777" w:rsidTr="0EB0CC45">
        <w:tc>
          <w:tcPr>
            <w:tcW w:w="1951" w:type="dxa"/>
            <w:shd w:val="clear" w:color="auto" w:fill="auto"/>
          </w:tcPr>
          <w:p w14:paraId="6001AAC9" w14:textId="77777777" w:rsidR="00990B54" w:rsidRPr="009C5B5D" w:rsidRDefault="00990B54" w:rsidP="00A210DA">
            <w:pPr>
              <w:autoSpaceDE w:val="0"/>
              <w:autoSpaceDN w:val="0"/>
              <w:adjustRightInd w:val="0"/>
              <w:spacing w:after="0" w:line="240" w:lineRule="auto"/>
              <w:rPr>
                <w:rFonts w:asciiTheme="minorHAnsi" w:hAnsiTheme="minorHAnsi" w:cstheme="minorHAnsi"/>
                <w:lang w:eastAsia="en-GB"/>
              </w:rPr>
            </w:pPr>
            <w:r w:rsidRPr="009C5B5D">
              <w:rPr>
                <w:rFonts w:asciiTheme="minorHAnsi" w:hAnsiTheme="minorHAnsi" w:cstheme="minorHAnsi"/>
                <w:lang w:eastAsia="en-GB"/>
              </w:rPr>
              <w:t>Approval date:</w:t>
            </w:r>
          </w:p>
        </w:tc>
        <w:tc>
          <w:tcPr>
            <w:tcW w:w="4509" w:type="dxa"/>
            <w:shd w:val="clear" w:color="auto" w:fill="auto"/>
          </w:tcPr>
          <w:p w14:paraId="3B01D7EE" w14:textId="640A2B84" w:rsidR="00990B54" w:rsidRPr="009C5B5D" w:rsidRDefault="1710C7B1" w:rsidP="55C70BD7">
            <w:pPr>
              <w:autoSpaceDE w:val="0"/>
              <w:autoSpaceDN w:val="0"/>
              <w:adjustRightInd w:val="0"/>
              <w:spacing w:after="0" w:line="240" w:lineRule="auto"/>
              <w:rPr>
                <w:rFonts w:asciiTheme="minorHAnsi" w:hAnsiTheme="minorHAnsi" w:cstheme="minorBidi"/>
                <w:lang w:eastAsia="en-GB"/>
              </w:rPr>
            </w:pPr>
            <w:r w:rsidRPr="13372133">
              <w:rPr>
                <w:rFonts w:asciiTheme="minorHAnsi" w:hAnsiTheme="minorHAnsi" w:cstheme="minorBidi"/>
                <w:lang w:eastAsia="en-GB"/>
              </w:rPr>
              <w:t>5</w:t>
            </w:r>
            <w:r w:rsidRPr="13372133">
              <w:rPr>
                <w:rFonts w:asciiTheme="minorHAnsi" w:hAnsiTheme="minorHAnsi" w:cstheme="minorBidi"/>
                <w:vertAlign w:val="superscript"/>
                <w:lang w:eastAsia="en-GB"/>
              </w:rPr>
              <w:t>th</w:t>
            </w:r>
            <w:r w:rsidRPr="13372133">
              <w:rPr>
                <w:rFonts w:asciiTheme="minorHAnsi" w:hAnsiTheme="minorHAnsi" w:cstheme="minorBidi"/>
                <w:lang w:eastAsia="en-GB"/>
              </w:rPr>
              <w:t xml:space="preserve"> November 2024</w:t>
            </w:r>
          </w:p>
        </w:tc>
      </w:tr>
      <w:tr w:rsidR="00990B54" w:rsidRPr="006E77CA" w14:paraId="7432CB7A" w14:textId="77777777" w:rsidTr="0EB0CC45">
        <w:tc>
          <w:tcPr>
            <w:tcW w:w="1951" w:type="dxa"/>
            <w:shd w:val="clear" w:color="auto" w:fill="auto"/>
          </w:tcPr>
          <w:p w14:paraId="4A012D2F" w14:textId="77777777" w:rsidR="00990B54" w:rsidRPr="009C5B5D" w:rsidRDefault="00990B54" w:rsidP="00A210DA">
            <w:pPr>
              <w:autoSpaceDE w:val="0"/>
              <w:autoSpaceDN w:val="0"/>
              <w:adjustRightInd w:val="0"/>
              <w:spacing w:after="0" w:line="240" w:lineRule="auto"/>
              <w:rPr>
                <w:rFonts w:asciiTheme="minorHAnsi" w:hAnsiTheme="minorHAnsi" w:cstheme="minorHAnsi"/>
                <w:lang w:eastAsia="en-GB"/>
              </w:rPr>
            </w:pPr>
            <w:r w:rsidRPr="009C5B5D">
              <w:rPr>
                <w:rFonts w:asciiTheme="minorHAnsi" w:hAnsiTheme="minorHAnsi" w:cstheme="minorHAnsi"/>
                <w:lang w:eastAsia="en-GB"/>
              </w:rPr>
              <w:t>Approving Board:</w:t>
            </w:r>
          </w:p>
        </w:tc>
        <w:tc>
          <w:tcPr>
            <w:tcW w:w="4509" w:type="dxa"/>
            <w:shd w:val="clear" w:color="auto" w:fill="auto"/>
          </w:tcPr>
          <w:p w14:paraId="2A2F5092" w14:textId="32E79A04" w:rsidR="00990B54" w:rsidRPr="009C5B5D" w:rsidRDefault="006F08F5" w:rsidP="55C70BD7">
            <w:pPr>
              <w:autoSpaceDE w:val="0"/>
              <w:autoSpaceDN w:val="0"/>
              <w:adjustRightInd w:val="0"/>
              <w:spacing w:after="0" w:line="240" w:lineRule="auto"/>
              <w:rPr>
                <w:rFonts w:asciiTheme="minorHAnsi" w:hAnsiTheme="minorHAnsi" w:cstheme="minorBidi"/>
                <w:lang w:eastAsia="en-GB"/>
              </w:rPr>
            </w:pPr>
            <w:r w:rsidRPr="55C70BD7">
              <w:rPr>
                <w:rFonts w:asciiTheme="minorHAnsi" w:hAnsiTheme="minorHAnsi" w:cstheme="minorBidi"/>
                <w:lang w:eastAsia="en-GB"/>
              </w:rPr>
              <w:t>Strategic Performance Board</w:t>
            </w:r>
          </w:p>
        </w:tc>
      </w:tr>
      <w:tr w:rsidR="00990B54" w:rsidRPr="006E77CA" w14:paraId="27807B9E" w14:textId="77777777" w:rsidTr="0EB0CC45">
        <w:tc>
          <w:tcPr>
            <w:tcW w:w="1951" w:type="dxa"/>
            <w:shd w:val="clear" w:color="auto" w:fill="auto"/>
          </w:tcPr>
          <w:p w14:paraId="5BB4EA60" w14:textId="77777777" w:rsidR="00990B54" w:rsidRPr="009C5B5D" w:rsidRDefault="00990B54" w:rsidP="00A210DA">
            <w:pPr>
              <w:autoSpaceDE w:val="0"/>
              <w:autoSpaceDN w:val="0"/>
              <w:adjustRightInd w:val="0"/>
              <w:spacing w:after="0" w:line="240" w:lineRule="auto"/>
              <w:rPr>
                <w:rFonts w:asciiTheme="minorHAnsi" w:hAnsiTheme="minorHAnsi" w:cstheme="minorHAnsi"/>
                <w:lang w:eastAsia="en-GB"/>
              </w:rPr>
            </w:pPr>
            <w:r w:rsidRPr="009C5B5D">
              <w:rPr>
                <w:rFonts w:asciiTheme="minorHAnsi" w:hAnsiTheme="minorHAnsi" w:cstheme="minorHAnsi"/>
                <w:lang w:eastAsia="en-GB"/>
              </w:rPr>
              <w:t>Review date:</w:t>
            </w:r>
          </w:p>
        </w:tc>
        <w:tc>
          <w:tcPr>
            <w:tcW w:w="4509" w:type="dxa"/>
            <w:shd w:val="clear" w:color="auto" w:fill="auto"/>
          </w:tcPr>
          <w:p w14:paraId="469043A9" w14:textId="423E1BCF" w:rsidR="00990B54" w:rsidRPr="009C5B5D" w:rsidRDefault="1C40ACC6" w:rsidP="55C70BD7">
            <w:pPr>
              <w:autoSpaceDE w:val="0"/>
              <w:autoSpaceDN w:val="0"/>
              <w:adjustRightInd w:val="0"/>
              <w:spacing w:after="0" w:line="240" w:lineRule="auto"/>
              <w:rPr>
                <w:rFonts w:asciiTheme="minorHAnsi" w:hAnsiTheme="minorHAnsi" w:cstheme="minorBidi"/>
                <w:lang w:eastAsia="en-GB"/>
              </w:rPr>
            </w:pPr>
            <w:r w:rsidRPr="55C70BD7">
              <w:rPr>
                <w:rFonts w:asciiTheme="minorHAnsi" w:hAnsiTheme="minorHAnsi" w:cstheme="minorBidi"/>
                <w:lang w:eastAsia="en-GB"/>
              </w:rPr>
              <w:t>November 2025</w:t>
            </w:r>
          </w:p>
        </w:tc>
      </w:tr>
    </w:tbl>
    <w:p w14:paraId="07133258" w14:textId="77777777" w:rsidR="00990B54" w:rsidRPr="00F01836" w:rsidRDefault="00990B54" w:rsidP="00990B54">
      <w:pPr>
        <w:autoSpaceDE w:val="0"/>
        <w:autoSpaceDN w:val="0"/>
        <w:adjustRightInd w:val="0"/>
        <w:spacing w:after="0" w:line="240" w:lineRule="auto"/>
        <w:rPr>
          <w:rFonts w:cs="Calibri"/>
          <w:sz w:val="24"/>
          <w:szCs w:val="24"/>
          <w:lang w:eastAsia="en-GB"/>
        </w:rPr>
      </w:pPr>
    </w:p>
    <w:p w14:paraId="067F1A90" w14:textId="77777777" w:rsidR="00D60892" w:rsidRPr="00F01836" w:rsidRDefault="00D60892" w:rsidP="001462F7">
      <w:pPr>
        <w:autoSpaceDE w:val="0"/>
        <w:autoSpaceDN w:val="0"/>
        <w:adjustRightInd w:val="0"/>
        <w:spacing w:after="0" w:line="240" w:lineRule="auto"/>
        <w:rPr>
          <w:rFonts w:cs="Calibri"/>
          <w:sz w:val="24"/>
          <w:szCs w:val="24"/>
        </w:rPr>
      </w:pPr>
    </w:p>
    <w:sectPr w:rsidR="00D60892" w:rsidRPr="00F01836" w:rsidSect="00B42DCE">
      <w:headerReference w:type="even" r:id="rId11"/>
      <w:headerReference w:type="default" r:id="rId12"/>
      <w:footerReference w:type="default" r:id="rId13"/>
      <w:headerReference w:type="first" r:id="rId14"/>
      <w:pgSz w:w="11906" w:h="16838"/>
      <w:pgMar w:top="1440" w:right="991"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05F0" w14:textId="77777777" w:rsidR="003A53DE" w:rsidRDefault="003A53DE" w:rsidP="009D3472">
      <w:pPr>
        <w:spacing w:after="0" w:line="240" w:lineRule="auto"/>
      </w:pPr>
      <w:r>
        <w:separator/>
      </w:r>
    </w:p>
  </w:endnote>
  <w:endnote w:type="continuationSeparator" w:id="0">
    <w:p w14:paraId="6B79463C" w14:textId="77777777" w:rsidR="003A53DE" w:rsidRDefault="003A53DE" w:rsidP="009D3472">
      <w:pPr>
        <w:spacing w:after="0" w:line="240" w:lineRule="auto"/>
      </w:pPr>
      <w:r>
        <w:continuationSeparator/>
      </w:r>
    </w:p>
  </w:endnote>
  <w:endnote w:type="continuationNotice" w:id="1">
    <w:p w14:paraId="40FFC5C8" w14:textId="77777777" w:rsidR="006773FC" w:rsidRDefault="00677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3B67" w14:textId="5897C1FE" w:rsidR="00FD05FE" w:rsidRDefault="00FD05FE">
    <w:pPr>
      <w:pStyle w:val="Footer"/>
      <w:jc w:val="right"/>
    </w:pPr>
    <w:r>
      <w:fldChar w:fldCharType="begin"/>
    </w:r>
    <w:r>
      <w:instrText xml:space="preserve"> PAGE   \* MERGEFORMAT </w:instrText>
    </w:r>
    <w:r>
      <w:fldChar w:fldCharType="separate"/>
    </w:r>
    <w:r w:rsidR="009C5B5D">
      <w:rPr>
        <w:noProof/>
      </w:rPr>
      <w:t>2</w:t>
    </w:r>
    <w:r>
      <w:rPr>
        <w:noProof/>
      </w:rPr>
      <w:fldChar w:fldCharType="end"/>
    </w:r>
  </w:p>
  <w:p w14:paraId="2AEECFDC" w14:textId="77777777" w:rsidR="00DE3233" w:rsidRDefault="00DE3233">
    <w:pPr>
      <w:pStyle w:val="Copyright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4659" w14:textId="77777777" w:rsidR="003A53DE" w:rsidRDefault="003A53DE" w:rsidP="009D3472">
      <w:pPr>
        <w:spacing w:after="0" w:line="240" w:lineRule="auto"/>
      </w:pPr>
      <w:r>
        <w:separator/>
      </w:r>
    </w:p>
  </w:footnote>
  <w:footnote w:type="continuationSeparator" w:id="0">
    <w:p w14:paraId="721C8C7B" w14:textId="77777777" w:rsidR="003A53DE" w:rsidRDefault="003A53DE" w:rsidP="009D3472">
      <w:pPr>
        <w:spacing w:after="0" w:line="240" w:lineRule="auto"/>
      </w:pPr>
      <w:r>
        <w:continuationSeparator/>
      </w:r>
    </w:p>
  </w:footnote>
  <w:footnote w:type="continuationNotice" w:id="1">
    <w:p w14:paraId="766632BA" w14:textId="77777777" w:rsidR="006773FC" w:rsidRDefault="00677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88C8" w14:textId="137ED701" w:rsidR="00EB042C" w:rsidRDefault="00EB042C">
    <w:pPr>
      <w:pStyle w:val="Header"/>
    </w:pPr>
    <w:r>
      <w:rPr>
        <w:noProof/>
      </w:rPr>
      <mc:AlternateContent>
        <mc:Choice Requires="wps">
          <w:drawing>
            <wp:anchor distT="0" distB="0" distL="0" distR="0" simplePos="0" relativeHeight="251658241" behindDoc="0" locked="0" layoutInCell="1" allowOverlap="1" wp14:anchorId="040AFD76" wp14:editId="6AE50400">
              <wp:simplePos x="635" y="635"/>
              <wp:positionH relativeFrom="page">
                <wp:align>center</wp:align>
              </wp:positionH>
              <wp:positionV relativeFrom="page">
                <wp:align>top</wp:align>
              </wp:positionV>
              <wp:extent cx="443865" cy="443865"/>
              <wp:effectExtent l="0" t="0" r="5080" b="12065"/>
              <wp:wrapNone/>
              <wp:docPr id="3" name="Text Box 3"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9031E" w14:textId="7E6972A9" w:rsidR="00EB042C" w:rsidRPr="00EB042C" w:rsidRDefault="00EB042C" w:rsidP="00EB042C">
                          <w:pPr>
                            <w:spacing w:after="0"/>
                            <w:rPr>
                              <w:rFonts w:cs="Calibri"/>
                              <w:noProof/>
                              <w:color w:val="0000FF"/>
                              <w:sz w:val="20"/>
                              <w:szCs w:val="20"/>
                            </w:rPr>
                          </w:pPr>
                          <w:r w:rsidRPr="00EB042C">
                            <w:rPr>
                              <w:rFonts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AFD76" id="_x0000_t202" coordsize="21600,21600" o:spt="202" path="m,l,21600r21600,l21600,xe">
              <v:stroke joinstyle="miter"/>
              <v:path gradientshapeok="t" o:connecttype="rect"/>
            </v:shapetype>
            <v:shape id="Text Box 3" o:spid="_x0000_s1026" type="#_x0000_t202" alt="OFFICIAL - Swyddogo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29031E" w14:textId="7E6972A9" w:rsidR="00EB042C" w:rsidRPr="00EB042C" w:rsidRDefault="00EB042C" w:rsidP="00EB042C">
                    <w:pPr>
                      <w:spacing w:after="0"/>
                      <w:rPr>
                        <w:rFonts w:cs="Calibri"/>
                        <w:noProof/>
                        <w:color w:val="0000FF"/>
                        <w:sz w:val="20"/>
                        <w:szCs w:val="20"/>
                      </w:rPr>
                    </w:pPr>
                    <w:r w:rsidRPr="00EB042C">
                      <w:rPr>
                        <w:rFonts w:cs="Calibri"/>
                        <w:noProof/>
                        <w:color w:val="0000FF"/>
                        <w:sz w:val="20"/>
                        <w:szCs w:val="20"/>
                      </w:rPr>
                      <w:t>OFFICIAL - Swyddogol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6800" w14:textId="1FD3EC82" w:rsidR="00DE3233" w:rsidRDefault="00E97DD6" w:rsidP="00926140">
    <w:pPr>
      <w:pStyle w:val="CopyrightBody"/>
      <w:ind w:left="0"/>
      <w:rPr>
        <w:b/>
      </w:rPr>
    </w:pPr>
    <w:r w:rsidRPr="00732689">
      <w:rPr>
        <w:noProof/>
        <w:szCs w:val="16"/>
      </w:rPr>
      <w:drawing>
        <wp:anchor distT="0" distB="0" distL="114300" distR="114300" simplePos="0" relativeHeight="251658244" behindDoc="1" locked="0" layoutInCell="1" allowOverlap="1" wp14:anchorId="7FE12F61" wp14:editId="07734DC5">
          <wp:simplePos x="0" y="0"/>
          <wp:positionH relativeFrom="column">
            <wp:posOffset>-47625</wp:posOffset>
          </wp:positionH>
          <wp:positionV relativeFrom="paragraph">
            <wp:posOffset>47625</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3" behindDoc="1" locked="0" layoutInCell="1" allowOverlap="1" wp14:anchorId="5E6C1675" wp14:editId="66F2CB8E">
          <wp:simplePos x="0" y="0"/>
          <wp:positionH relativeFrom="margin">
            <wp:posOffset>3981450</wp:posOffset>
          </wp:positionH>
          <wp:positionV relativeFrom="paragraph">
            <wp:posOffset>-28575</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EB042C">
      <w:rPr>
        <w:noProof/>
      </w:rPr>
      <mc:AlternateContent>
        <mc:Choice Requires="wps">
          <w:drawing>
            <wp:anchor distT="0" distB="0" distL="0" distR="0" simplePos="0" relativeHeight="251658242" behindDoc="0" locked="0" layoutInCell="1" allowOverlap="1" wp14:anchorId="5FBA9640" wp14:editId="4D4C121A">
              <wp:simplePos x="914400" y="266700"/>
              <wp:positionH relativeFrom="page">
                <wp:align>center</wp:align>
              </wp:positionH>
              <wp:positionV relativeFrom="page">
                <wp:align>top</wp:align>
              </wp:positionV>
              <wp:extent cx="443865" cy="443865"/>
              <wp:effectExtent l="0" t="0" r="5080" b="12065"/>
              <wp:wrapNone/>
              <wp:docPr id="4" name="Text Box 4"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22F6C" w14:textId="6EB23AA4" w:rsidR="00EB042C" w:rsidRPr="00EB042C" w:rsidRDefault="00EB042C" w:rsidP="00EB042C">
                          <w:pPr>
                            <w:spacing w:after="0"/>
                            <w:rPr>
                              <w:rFonts w:cs="Calibri"/>
                              <w:noProof/>
                              <w:color w:val="0000FF"/>
                              <w:sz w:val="20"/>
                              <w:szCs w:val="20"/>
                            </w:rPr>
                          </w:pPr>
                          <w:r w:rsidRPr="00EB042C">
                            <w:rPr>
                              <w:rFonts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A9640" id="_x0000_t202" coordsize="21600,21600" o:spt="202" path="m,l,21600r21600,l21600,xe">
              <v:stroke joinstyle="miter"/>
              <v:path gradientshapeok="t" o:connecttype="rect"/>
            </v:shapetype>
            <v:shape id="Text Box 4" o:spid="_x0000_s1027" type="#_x0000_t202" alt="OFFICIAL - Swyddogo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122F6C" w14:textId="6EB23AA4" w:rsidR="00EB042C" w:rsidRPr="00EB042C" w:rsidRDefault="00EB042C" w:rsidP="00EB042C">
                    <w:pPr>
                      <w:spacing w:after="0"/>
                      <w:rPr>
                        <w:rFonts w:cs="Calibri"/>
                        <w:noProof/>
                        <w:color w:val="0000FF"/>
                        <w:sz w:val="20"/>
                        <w:szCs w:val="20"/>
                      </w:rPr>
                    </w:pPr>
                    <w:r w:rsidRPr="00EB042C">
                      <w:rPr>
                        <w:rFonts w:cs="Calibri"/>
                        <w:noProof/>
                        <w:color w:val="0000FF"/>
                        <w:sz w:val="20"/>
                        <w:szCs w:val="20"/>
                      </w:rPr>
                      <w:t>OFFICIAL - Swyddogol</w:t>
                    </w:r>
                  </w:p>
                </w:txbxContent>
              </v:textbox>
              <w10:wrap anchorx="page" anchory="page"/>
            </v:shape>
          </w:pict>
        </mc:Fallback>
      </mc:AlternateContent>
    </w:r>
  </w:p>
  <w:p w14:paraId="6804A8E1" w14:textId="77777777" w:rsidR="00DE2161" w:rsidRDefault="00D9771C" w:rsidP="00D9771C">
    <w:pPr>
      <w:pStyle w:val="CopyrightBody"/>
      <w:tabs>
        <w:tab w:val="left" w:pos="7320"/>
      </w:tabs>
      <w:ind w:left="0"/>
      <w:jc w:val="left"/>
      <w:rPr>
        <w:b/>
        <w:sz w:val="20"/>
        <w:szCs w:val="20"/>
      </w:rPr>
    </w:pPr>
    <w:r>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630"/>
      <w:gridCol w:w="6215"/>
      <w:gridCol w:w="1630"/>
    </w:tblGrid>
    <w:tr w:rsidR="00DE3233" w:rsidRPr="009D3472" w14:paraId="005D55A4" w14:textId="77777777">
      <w:tc>
        <w:tcPr>
          <w:tcW w:w="1701" w:type="dxa"/>
        </w:tcPr>
        <w:p w14:paraId="3D2E3E41" w14:textId="28E4FECD" w:rsidR="00DE3233" w:rsidRPr="00991BD5" w:rsidRDefault="00EB042C">
          <w:pPr>
            <w:pStyle w:val="Header"/>
            <w:rPr>
              <w:szCs w:val="22"/>
              <w:lang w:val="en-GB"/>
            </w:rPr>
          </w:pPr>
          <w:r>
            <w:rPr>
              <w:noProof/>
              <w:szCs w:val="22"/>
              <w:lang w:val="en-GB"/>
            </w:rPr>
            <mc:AlternateContent>
              <mc:Choice Requires="wps">
                <w:drawing>
                  <wp:anchor distT="0" distB="0" distL="0" distR="0" simplePos="0" relativeHeight="251658240" behindDoc="0" locked="0" layoutInCell="1" allowOverlap="1" wp14:anchorId="740FD0BE" wp14:editId="4211BBD4">
                    <wp:simplePos x="635" y="635"/>
                    <wp:positionH relativeFrom="page">
                      <wp:align>center</wp:align>
                    </wp:positionH>
                    <wp:positionV relativeFrom="page">
                      <wp:align>top</wp:align>
                    </wp:positionV>
                    <wp:extent cx="443865" cy="443865"/>
                    <wp:effectExtent l="0" t="0" r="5080" b="12065"/>
                    <wp:wrapNone/>
                    <wp:docPr id="1" name="Text Box 1"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2308E" w14:textId="441D89A2" w:rsidR="00EB042C" w:rsidRPr="00EB042C" w:rsidRDefault="00EB042C" w:rsidP="00EB042C">
                                <w:pPr>
                                  <w:spacing w:after="0"/>
                                  <w:rPr>
                                    <w:rFonts w:cs="Calibri"/>
                                    <w:noProof/>
                                    <w:color w:val="0000FF"/>
                                    <w:sz w:val="20"/>
                                    <w:szCs w:val="20"/>
                                  </w:rPr>
                                </w:pPr>
                                <w:r w:rsidRPr="00EB042C">
                                  <w:rPr>
                                    <w:rFonts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0FD0BE" id="_x0000_t202" coordsize="21600,21600" o:spt="202" path="m,l,21600r21600,l21600,xe">
                    <v:stroke joinstyle="miter"/>
                    <v:path gradientshapeok="t" o:connecttype="rect"/>
                  </v:shapetype>
                  <v:shape id="Text Box 1" o:spid="_x0000_s1028" type="#_x0000_t202" alt="OFFICIAL - Swyddogo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852308E" w14:textId="441D89A2" w:rsidR="00EB042C" w:rsidRPr="00EB042C" w:rsidRDefault="00EB042C" w:rsidP="00EB042C">
                          <w:pPr>
                            <w:spacing w:after="0"/>
                            <w:rPr>
                              <w:rFonts w:cs="Calibri"/>
                              <w:noProof/>
                              <w:color w:val="0000FF"/>
                              <w:sz w:val="20"/>
                              <w:szCs w:val="20"/>
                            </w:rPr>
                          </w:pPr>
                          <w:r w:rsidRPr="00EB042C">
                            <w:rPr>
                              <w:rFonts w:cs="Calibri"/>
                              <w:noProof/>
                              <w:color w:val="0000FF"/>
                              <w:sz w:val="20"/>
                              <w:szCs w:val="20"/>
                            </w:rPr>
                            <w:t>OFFICIAL - Swyddogol</w:t>
                          </w:r>
                        </w:p>
                      </w:txbxContent>
                    </v:textbox>
                    <w10:wrap anchorx="page" anchory="page"/>
                  </v:shape>
                </w:pict>
              </mc:Fallback>
            </mc:AlternateContent>
          </w:r>
        </w:p>
      </w:tc>
      <w:tc>
        <w:tcPr>
          <w:tcW w:w="6447" w:type="dxa"/>
        </w:tcPr>
        <w:p w14:paraId="321714C3" w14:textId="77777777" w:rsidR="00DE3233" w:rsidRPr="00991BD5" w:rsidRDefault="00DE3233">
          <w:pPr>
            <w:pStyle w:val="HeaderMarking"/>
            <w:rPr>
              <w:szCs w:val="22"/>
              <w:lang w:val="en-GB"/>
            </w:rPr>
          </w:pPr>
          <w:r w:rsidRPr="00991BD5">
            <w:rPr>
              <w:szCs w:val="22"/>
              <w:lang w:val="en-GB"/>
            </w:rPr>
            <w:t>NOT PROTECTIVELY MARKED</w:t>
          </w:r>
        </w:p>
      </w:tc>
      <w:tc>
        <w:tcPr>
          <w:tcW w:w="1701" w:type="dxa"/>
        </w:tcPr>
        <w:p w14:paraId="3A844BD1" w14:textId="77777777" w:rsidR="00DE3233" w:rsidRPr="00991BD5" w:rsidRDefault="00DE3233">
          <w:pPr>
            <w:pStyle w:val="Header"/>
            <w:rPr>
              <w:szCs w:val="22"/>
              <w:lang w:val="en-GB"/>
            </w:rPr>
          </w:pPr>
        </w:p>
      </w:tc>
    </w:tr>
  </w:tbl>
  <w:p w14:paraId="17AB1759" w14:textId="77777777" w:rsidR="00DE3233" w:rsidRDefault="00DE3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798"/>
    <w:multiLevelType w:val="hybridMultilevel"/>
    <w:tmpl w:val="073E4C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030F39"/>
    <w:multiLevelType w:val="hybridMultilevel"/>
    <w:tmpl w:val="8352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A1584"/>
    <w:multiLevelType w:val="hybridMultilevel"/>
    <w:tmpl w:val="21E25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160CCB"/>
    <w:multiLevelType w:val="hybridMultilevel"/>
    <w:tmpl w:val="18388366"/>
    <w:lvl w:ilvl="0" w:tplc="FD263C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D50F3C"/>
    <w:multiLevelType w:val="hybridMultilevel"/>
    <w:tmpl w:val="47BA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778"/>
    <w:multiLevelType w:val="hybridMultilevel"/>
    <w:tmpl w:val="DE12F66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D453E1"/>
    <w:multiLevelType w:val="hybridMultilevel"/>
    <w:tmpl w:val="45EA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D2FC3"/>
    <w:multiLevelType w:val="hybridMultilevel"/>
    <w:tmpl w:val="18548DEE"/>
    <w:lvl w:ilvl="0" w:tplc="7FAA4086">
      <w:start w:val="1"/>
      <w:numFmt w:val="bullet"/>
      <w:lvlText w:val="•"/>
      <w:lvlJc w:val="left"/>
      <w:pPr>
        <w:tabs>
          <w:tab w:val="num" w:pos="720"/>
        </w:tabs>
        <w:ind w:left="720" w:hanging="360"/>
      </w:pPr>
      <w:rPr>
        <w:rFonts w:ascii="Arial" w:hAnsi="Arial" w:hint="default"/>
      </w:rPr>
    </w:lvl>
    <w:lvl w:ilvl="1" w:tplc="E9C234EC" w:tentative="1">
      <w:start w:val="1"/>
      <w:numFmt w:val="bullet"/>
      <w:lvlText w:val="•"/>
      <w:lvlJc w:val="left"/>
      <w:pPr>
        <w:tabs>
          <w:tab w:val="num" w:pos="1440"/>
        </w:tabs>
        <w:ind w:left="1440" w:hanging="360"/>
      </w:pPr>
      <w:rPr>
        <w:rFonts w:ascii="Arial" w:hAnsi="Arial" w:hint="default"/>
      </w:rPr>
    </w:lvl>
    <w:lvl w:ilvl="2" w:tplc="C150A9FE" w:tentative="1">
      <w:start w:val="1"/>
      <w:numFmt w:val="bullet"/>
      <w:lvlText w:val="•"/>
      <w:lvlJc w:val="left"/>
      <w:pPr>
        <w:tabs>
          <w:tab w:val="num" w:pos="2160"/>
        </w:tabs>
        <w:ind w:left="2160" w:hanging="360"/>
      </w:pPr>
      <w:rPr>
        <w:rFonts w:ascii="Arial" w:hAnsi="Arial" w:hint="default"/>
      </w:rPr>
    </w:lvl>
    <w:lvl w:ilvl="3" w:tplc="003C4D94" w:tentative="1">
      <w:start w:val="1"/>
      <w:numFmt w:val="bullet"/>
      <w:lvlText w:val="•"/>
      <w:lvlJc w:val="left"/>
      <w:pPr>
        <w:tabs>
          <w:tab w:val="num" w:pos="2880"/>
        </w:tabs>
        <w:ind w:left="2880" w:hanging="360"/>
      </w:pPr>
      <w:rPr>
        <w:rFonts w:ascii="Arial" w:hAnsi="Arial" w:hint="default"/>
      </w:rPr>
    </w:lvl>
    <w:lvl w:ilvl="4" w:tplc="85104BCE" w:tentative="1">
      <w:start w:val="1"/>
      <w:numFmt w:val="bullet"/>
      <w:lvlText w:val="•"/>
      <w:lvlJc w:val="left"/>
      <w:pPr>
        <w:tabs>
          <w:tab w:val="num" w:pos="3600"/>
        </w:tabs>
        <w:ind w:left="3600" w:hanging="360"/>
      </w:pPr>
      <w:rPr>
        <w:rFonts w:ascii="Arial" w:hAnsi="Arial" w:hint="default"/>
      </w:rPr>
    </w:lvl>
    <w:lvl w:ilvl="5" w:tplc="B6C89F3C" w:tentative="1">
      <w:start w:val="1"/>
      <w:numFmt w:val="bullet"/>
      <w:lvlText w:val="•"/>
      <w:lvlJc w:val="left"/>
      <w:pPr>
        <w:tabs>
          <w:tab w:val="num" w:pos="4320"/>
        </w:tabs>
        <w:ind w:left="4320" w:hanging="360"/>
      </w:pPr>
      <w:rPr>
        <w:rFonts w:ascii="Arial" w:hAnsi="Arial" w:hint="default"/>
      </w:rPr>
    </w:lvl>
    <w:lvl w:ilvl="6" w:tplc="541630FA" w:tentative="1">
      <w:start w:val="1"/>
      <w:numFmt w:val="bullet"/>
      <w:lvlText w:val="•"/>
      <w:lvlJc w:val="left"/>
      <w:pPr>
        <w:tabs>
          <w:tab w:val="num" w:pos="5040"/>
        </w:tabs>
        <w:ind w:left="5040" w:hanging="360"/>
      </w:pPr>
      <w:rPr>
        <w:rFonts w:ascii="Arial" w:hAnsi="Arial" w:hint="default"/>
      </w:rPr>
    </w:lvl>
    <w:lvl w:ilvl="7" w:tplc="4170E2FC" w:tentative="1">
      <w:start w:val="1"/>
      <w:numFmt w:val="bullet"/>
      <w:lvlText w:val="•"/>
      <w:lvlJc w:val="left"/>
      <w:pPr>
        <w:tabs>
          <w:tab w:val="num" w:pos="5760"/>
        </w:tabs>
        <w:ind w:left="5760" w:hanging="360"/>
      </w:pPr>
      <w:rPr>
        <w:rFonts w:ascii="Arial" w:hAnsi="Arial" w:hint="default"/>
      </w:rPr>
    </w:lvl>
    <w:lvl w:ilvl="8" w:tplc="5D3AF0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F5B5E"/>
    <w:multiLevelType w:val="hybridMultilevel"/>
    <w:tmpl w:val="CEFC1148"/>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9" w15:restartNumberingAfterBreak="0">
    <w:nsid w:val="1AA6789A"/>
    <w:multiLevelType w:val="multilevel"/>
    <w:tmpl w:val="DFE867D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FE636F"/>
    <w:multiLevelType w:val="hybridMultilevel"/>
    <w:tmpl w:val="E198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337B3"/>
    <w:multiLevelType w:val="hybridMultilevel"/>
    <w:tmpl w:val="0F90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42E28"/>
    <w:multiLevelType w:val="hybridMultilevel"/>
    <w:tmpl w:val="FF866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A838E6"/>
    <w:multiLevelType w:val="hybridMultilevel"/>
    <w:tmpl w:val="F88EF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F41DF"/>
    <w:multiLevelType w:val="hybridMultilevel"/>
    <w:tmpl w:val="B8FC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44E36"/>
    <w:multiLevelType w:val="hybridMultilevel"/>
    <w:tmpl w:val="4394D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7721E7"/>
    <w:multiLevelType w:val="hybridMultilevel"/>
    <w:tmpl w:val="9DE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51473"/>
    <w:multiLevelType w:val="multilevel"/>
    <w:tmpl w:val="2F20428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2"/>
        </w:tabs>
        <w:ind w:left="0" w:firstLine="0"/>
      </w:pPr>
    </w:lvl>
    <w:lvl w:ilvl="2">
      <w:start w:val="1"/>
      <w:numFmt w:val="decimal"/>
      <w:lvlText w:val="%1.%2.%3"/>
      <w:lvlJc w:val="left"/>
      <w:pPr>
        <w:tabs>
          <w:tab w:val="num" w:pos="360"/>
        </w:tabs>
        <w:ind w:left="360" w:hanging="1009"/>
      </w:pPr>
      <w:rPr>
        <w:rFonts w:hint="default"/>
      </w:rPr>
    </w:lvl>
    <w:lvl w:ilvl="3">
      <w:start w:val="1"/>
      <w:numFmt w:val="decimal"/>
      <w:pStyle w:val="BodyText-Level2"/>
      <w:lvlText w:val="%1.%4"/>
      <w:lvlJc w:val="left"/>
      <w:pPr>
        <w:tabs>
          <w:tab w:val="num" w:pos="862"/>
        </w:tabs>
        <w:ind w:left="862" w:hanging="862"/>
      </w:pPr>
      <w:rPr>
        <w:rFonts w:hint="default"/>
      </w:rPr>
    </w:lvl>
    <w:lvl w:ilvl="4">
      <w:start w:val="1"/>
      <w:numFmt w:val="decimal"/>
      <w:pStyle w:val="BodyText"/>
      <w:lvlText w:val="%1.%2.%5"/>
      <w:lvlJc w:val="left"/>
      <w:pPr>
        <w:tabs>
          <w:tab w:val="num" w:pos="720"/>
        </w:tabs>
        <w:ind w:left="720" w:hanging="720"/>
      </w:pPr>
      <w:rPr>
        <w:rFonts w:hint="default"/>
      </w:rPr>
    </w:lvl>
    <w:lvl w:ilvl="5">
      <w:start w:val="1"/>
      <w:numFmt w:val="decimal"/>
      <w:lvlText w:val="%1.%6"/>
      <w:lvlJc w:val="left"/>
      <w:pPr>
        <w:tabs>
          <w:tab w:val="num" w:pos="720"/>
        </w:tabs>
        <w:ind w:left="720" w:hanging="72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E1C367E"/>
    <w:multiLevelType w:val="hybridMultilevel"/>
    <w:tmpl w:val="817012FA"/>
    <w:lvl w:ilvl="0" w:tplc="6628ABAE">
      <w:start w:val="1"/>
      <w:numFmt w:val="bullet"/>
      <w:lvlText w:val="•"/>
      <w:lvlJc w:val="left"/>
      <w:pPr>
        <w:tabs>
          <w:tab w:val="num" w:pos="720"/>
        </w:tabs>
        <w:ind w:left="720" w:hanging="360"/>
      </w:pPr>
      <w:rPr>
        <w:rFonts w:ascii="Arial" w:hAnsi="Arial" w:hint="default"/>
      </w:rPr>
    </w:lvl>
    <w:lvl w:ilvl="1" w:tplc="A2623868" w:tentative="1">
      <w:start w:val="1"/>
      <w:numFmt w:val="bullet"/>
      <w:lvlText w:val="•"/>
      <w:lvlJc w:val="left"/>
      <w:pPr>
        <w:tabs>
          <w:tab w:val="num" w:pos="1440"/>
        </w:tabs>
        <w:ind w:left="1440" w:hanging="360"/>
      </w:pPr>
      <w:rPr>
        <w:rFonts w:ascii="Arial" w:hAnsi="Arial" w:hint="default"/>
      </w:rPr>
    </w:lvl>
    <w:lvl w:ilvl="2" w:tplc="7FE4B6FA" w:tentative="1">
      <w:start w:val="1"/>
      <w:numFmt w:val="bullet"/>
      <w:lvlText w:val="•"/>
      <w:lvlJc w:val="left"/>
      <w:pPr>
        <w:tabs>
          <w:tab w:val="num" w:pos="2160"/>
        </w:tabs>
        <w:ind w:left="2160" w:hanging="360"/>
      </w:pPr>
      <w:rPr>
        <w:rFonts w:ascii="Arial" w:hAnsi="Arial" w:hint="default"/>
      </w:rPr>
    </w:lvl>
    <w:lvl w:ilvl="3" w:tplc="07BCF468" w:tentative="1">
      <w:start w:val="1"/>
      <w:numFmt w:val="bullet"/>
      <w:lvlText w:val="•"/>
      <w:lvlJc w:val="left"/>
      <w:pPr>
        <w:tabs>
          <w:tab w:val="num" w:pos="2880"/>
        </w:tabs>
        <w:ind w:left="2880" w:hanging="360"/>
      </w:pPr>
      <w:rPr>
        <w:rFonts w:ascii="Arial" w:hAnsi="Arial" w:hint="default"/>
      </w:rPr>
    </w:lvl>
    <w:lvl w:ilvl="4" w:tplc="DDC8D1BA" w:tentative="1">
      <w:start w:val="1"/>
      <w:numFmt w:val="bullet"/>
      <w:lvlText w:val="•"/>
      <w:lvlJc w:val="left"/>
      <w:pPr>
        <w:tabs>
          <w:tab w:val="num" w:pos="3600"/>
        </w:tabs>
        <w:ind w:left="3600" w:hanging="360"/>
      </w:pPr>
      <w:rPr>
        <w:rFonts w:ascii="Arial" w:hAnsi="Arial" w:hint="default"/>
      </w:rPr>
    </w:lvl>
    <w:lvl w:ilvl="5" w:tplc="46C8C490" w:tentative="1">
      <w:start w:val="1"/>
      <w:numFmt w:val="bullet"/>
      <w:lvlText w:val="•"/>
      <w:lvlJc w:val="left"/>
      <w:pPr>
        <w:tabs>
          <w:tab w:val="num" w:pos="4320"/>
        </w:tabs>
        <w:ind w:left="4320" w:hanging="360"/>
      </w:pPr>
      <w:rPr>
        <w:rFonts w:ascii="Arial" w:hAnsi="Arial" w:hint="default"/>
      </w:rPr>
    </w:lvl>
    <w:lvl w:ilvl="6" w:tplc="4A60CE0C" w:tentative="1">
      <w:start w:val="1"/>
      <w:numFmt w:val="bullet"/>
      <w:lvlText w:val="•"/>
      <w:lvlJc w:val="left"/>
      <w:pPr>
        <w:tabs>
          <w:tab w:val="num" w:pos="5040"/>
        </w:tabs>
        <w:ind w:left="5040" w:hanging="360"/>
      </w:pPr>
      <w:rPr>
        <w:rFonts w:ascii="Arial" w:hAnsi="Arial" w:hint="default"/>
      </w:rPr>
    </w:lvl>
    <w:lvl w:ilvl="7" w:tplc="300A732E" w:tentative="1">
      <w:start w:val="1"/>
      <w:numFmt w:val="bullet"/>
      <w:lvlText w:val="•"/>
      <w:lvlJc w:val="left"/>
      <w:pPr>
        <w:tabs>
          <w:tab w:val="num" w:pos="5760"/>
        </w:tabs>
        <w:ind w:left="5760" w:hanging="360"/>
      </w:pPr>
      <w:rPr>
        <w:rFonts w:ascii="Arial" w:hAnsi="Arial" w:hint="default"/>
      </w:rPr>
    </w:lvl>
    <w:lvl w:ilvl="8" w:tplc="055868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7B5E0E"/>
    <w:multiLevelType w:val="hybridMultilevel"/>
    <w:tmpl w:val="85B4D47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1936AC"/>
    <w:multiLevelType w:val="hybridMultilevel"/>
    <w:tmpl w:val="333E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518EC"/>
    <w:multiLevelType w:val="hybridMultilevel"/>
    <w:tmpl w:val="877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767341"/>
    <w:multiLevelType w:val="hybridMultilevel"/>
    <w:tmpl w:val="22882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65FD1"/>
    <w:multiLevelType w:val="hybridMultilevel"/>
    <w:tmpl w:val="4E2C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133AF"/>
    <w:multiLevelType w:val="hybridMultilevel"/>
    <w:tmpl w:val="0CD810E4"/>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CB7564"/>
    <w:multiLevelType w:val="hybridMultilevel"/>
    <w:tmpl w:val="8AE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71E56"/>
    <w:multiLevelType w:val="multilevel"/>
    <w:tmpl w:val="C94E66A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sz w:val="24"/>
        <w:szCs w:val="24"/>
      </w:rPr>
    </w:lvl>
    <w:lvl w:ilvl="2">
      <w:start w:val="1"/>
      <w:numFmt w:val="decimal"/>
      <w:isLgl/>
      <w:lvlText w:val="%1.%2.%3"/>
      <w:lvlJc w:val="left"/>
      <w:pPr>
        <w:ind w:left="1080" w:hanging="720"/>
      </w:pPr>
      <w:rPr>
        <w:rFonts w:hint="default"/>
        <w:b/>
        <w:color w:val="365F91"/>
      </w:rPr>
    </w:lvl>
    <w:lvl w:ilvl="3">
      <w:start w:val="1"/>
      <w:numFmt w:val="decimal"/>
      <w:isLgl/>
      <w:lvlText w:val="%1.%2.%3.%4"/>
      <w:lvlJc w:val="left"/>
      <w:pPr>
        <w:ind w:left="1080" w:hanging="720"/>
      </w:pPr>
      <w:rPr>
        <w:rFonts w:hint="default"/>
        <w:b/>
        <w:color w:val="365F91"/>
      </w:rPr>
    </w:lvl>
    <w:lvl w:ilvl="4">
      <w:start w:val="1"/>
      <w:numFmt w:val="decimal"/>
      <w:isLgl/>
      <w:lvlText w:val="%1.%2.%3.%4.%5"/>
      <w:lvlJc w:val="left"/>
      <w:pPr>
        <w:ind w:left="1440" w:hanging="1080"/>
      </w:pPr>
      <w:rPr>
        <w:rFonts w:hint="default"/>
        <w:b/>
        <w:color w:val="365F91"/>
      </w:rPr>
    </w:lvl>
    <w:lvl w:ilvl="5">
      <w:start w:val="1"/>
      <w:numFmt w:val="decimal"/>
      <w:isLgl/>
      <w:lvlText w:val="%1.%2.%3.%4.%5.%6"/>
      <w:lvlJc w:val="left"/>
      <w:pPr>
        <w:ind w:left="1440" w:hanging="1080"/>
      </w:pPr>
      <w:rPr>
        <w:rFonts w:hint="default"/>
        <w:b/>
        <w:color w:val="365F91"/>
      </w:rPr>
    </w:lvl>
    <w:lvl w:ilvl="6">
      <w:start w:val="1"/>
      <w:numFmt w:val="decimal"/>
      <w:isLgl/>
      <w:lvlText w:val="%1.%2.%3.%4.%5.%6.%7"/>
      <w:lvlJc w:val="left"/>
      <w:pPr>
        <w:ind w:left="1800" w:hanging="1440"/>
      </w:pPr>
      <w:rPr>
        <w:rFonts w:hint="default"/>
        <w:b/>
        <w:color w:val="365F91"/>
      </w:rPr>
    </w:lvl>
    <w:lvl w:ilvl="7">
      <w:start w:val="1"/>
      <w:numFmt w:val="decimal"/>
      <w:isLgl/>
      <w:lvlText w:val="%1.%2.%3.%4.%5.%6.%7.%8"/>
      <w:lvlJc w:val="left"/>
      <w:pPr>
        <w:ind w:left="1800" w:hanging="1440"/>
      </w:pPr>
      <w:rPr>
        <w:rFonts w:hint="default"/>
        <w:b/>
        <w:color w:val="365F91"/>
      </w:rPr>
    </w:lvl>
    <w:lvl w:ilvl="8">
      <w:start w:val="1"/>
      <w:numFmt w:val="decimal"/>
      <w:isLgl/>
      <w:lvlText w:val="%1.%2.%3.%4.%5.%6.%7.%8.%9"/>
      <w:lvlJc w:val="left"/>
      <w:pPr>
        <w:ind w:left="1800" w:hanging="1440"/>
      </w:pPr>
      <w:rPr>
        <w:rFonts w:hint="default"/>
        <w:b/>
        <w:color w:val="365F91"/>
      </w:rPr>
    </w:lvl>
  </w:abstractNum>
  <w:abstractNum w:abstractNumId="27" w15:restartNumberingAfterBreak="0">
    <w:nsid w:val="4E1672FA"/>
    <w:multiLevelType w:val="hybridMultilevel"/>
    <w:tmpl w:val="5400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7E5055"/>
    <w:multiLevelType w:val="hybridMultilevel"/>
    <w:tmpl w:val="12D6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F57B8"/>
    <w:multiLevelType w:val="hybridMultilevel"/>
    <w:tmpl w:val="D1E2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F35"/>
    <w:multiLevelType w:val="hybridMultilevel"/>
    <w:tmpl w:val="FDD67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3B4CF4"/>
    <w:multiLevelType w:val="hybridMultilevel"/>
    <w:tmpl w:val="E136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A4B83"/>
    <w:multiLevelType w:val="hybridMultilevel"/>
    <w:tmpl w:val="6BB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F3D70"/>
    <w:multiLevelType w:val="hybridMultilevel"/>
    <w:tmpl w:val="6C52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06783"/>
    <w:multiLevelType w:val="hybridMultilevel"/>
    <w:tmpl w:val="B63C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C7CCD"/>
    <w:multiLevelType w:val="hybridMultilevel"/>
    <w:tmpl w:val="0F7C59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881579C"/>
    <w:multiLevelType w:val="hybridMultilevel"/>
    <w:tmpl w:val="6B806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60E41"/>
    <w:multiLevelType w:val="hybridMultilevel"/>
    <w:tmpl w:val="611837C2"/>
    <w:lvl w:ilvl="0" w:tplc="FD263C7A">
      <w:numFmt w:val="bullet"/>
      <w:lvlText w:val="•"/>
      <w:lvlJc w:val="left"/>
      <w:pPr>
        <w:ind w:left="720" w:hanging="360"/>
      </w:pPr>
      <w:rPr>
        <w:rFonts w:ascii="Calibri" w:eastAsiaTheme="minorHAnsi" w:hAnsi="Calibri" w:cs="Calibri" w:hint="default"/>
      </w:rPr>
    </w:lvl>
    <w:lvl w:ilvl="1" w:tplc="97BA1E7C">
      <w:numFmt w:val="bullet"/>
      <w:lvlText w:val=""/>
      <w:lvlJc w:val="left"/>
      <w:pPr>
        <w:ind w:left="1800" w:hanging="720"/>
      </w:pPr>
      <w:rPr>
        <w:rFonts w:ascii="Symbol" w:eastAsiaTheme="minorHAnsi" w:hAnsi="Symbol" w:cstheme="minorBidi" w:hint="default"/>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8202289">
    <w:abstractNumId w:val="9"/>
  </w:num>
  <w:num w:numId="2" w16cid:durableId="967469547">
    <w:abstractNumId w:val="17"/>
  </w:num>
  <w:num w:numId="3" w16cid:durableId="837887750">
    <w:abstractNumId w:val="0"/>
  </w:num>
  <w:num w:numId="4" w16cid:durableId="1753816378">
    <w:abstractNumId w:val="24"/>
  </w:num>
  <w:num w:numId="5" w16cid:durableId="1183084346">
    <w:abstractNumId w:val="30"/>
  </w:num>
  <w:num w:numId="6" w16cid:durableId="1131165117">
    <w:abstractNumId w:val="35"/>
  </w:num>
  <w:num w:numId="7" w16cid:durableId="939339774">
    <w:abstractNumId w:val="8"/>
  </w:num>
  <w:num w:numId="8" w16cid:durableId="1182740856">
    <w:abstractNumId w:val="18"/>
  </w:num>
  <w:num w:numId="9" w16cid:durableId="1051033503">
    <w:abstractNumId w:val="7"/>
  </w:num>
  <w:num w:numId="10" w16cid:durableId="460849253">
    <w:abstractNumId w:val="6"/>
  </w:num>
  <w:num w:numId="11" w16cid:durableId="245774280">
    <w:abstractNumId w:val="31"/>
  </w:num>
  <w:num w:numId="12" w16cid:durableId="79986537">
    <w:abstractNumId w:val="32"/>
  </w:num>
  <w:num w:numId="13" w16cid:durableId="1938707147">
    <w:abstractNumId w:val="19"/>
  </w:num>
  <w:num w:numId="14" w16cid:durableId="1769497512">
    <w:abstractNumId w:val="23"/>
  </w:num>
  <w:num w:numId="15" w16cid:durableId="1194345016">
    <w:abstractNumId w:val="1"/>
  </w:num>
  <w:num w:numId="16" w16cid:durableId="1698192163">
    <w:abstractNumId w:val="13"/>
  </w:num>
  <w:num w:numId="17" w16cid:durableId="1586954852">
    <w:abstractNumId w:val="12"/>
  </w:num>
  <w:num w:numId="18" w16cid:durableId="1253197864">
    <w:abstractNumId w:val="20"/>
  </w:num>
  <w:num w:numId="19" w16cid:durableId="2027637467">
    <w:abstractNumId w:val="11"/>
  </w:num>
  <w:num w:numId="20" w16cid:durableId="562646189">
    <w:abstractNumId w:val="29"/>
  </w:num>
  <w:num w:numId="21" w16cid:durableId="1919242618">
    <w:abstractNumId w:val="26"/>
  </w:num>
  <w:num w:numId="22" w16cid:durableId="1974945772">
    <w:abstractNumId w:val="5"/>
  </w:num>
  <w:num w:numId="23" w16cid:durableId="1673675897">
    <w:abstractNumId w:val="22"/>
  </w:num>
  <w:num w:numId="24" w16cid:durableId="2709709">
    <w:abstractNumId w:val="16"/>
  </w:num>
  <w:num w:numId="25" w16cid:durableId="1435436865">
    <w:abstractNumId w:val="36"/>
  </w:num>
  <w:num w:numId="26" w16cid:durableId="1531214082">
    <w:abstractNumId w:val="25"/>
  </w:num>
  <w:num w:numId="27" w16cid:durableId="1613630688">
    <w:abstractNumId w:val="4"/>
  </w:num>
  <w:num w:numId="28" w16cid:durableId="461584448">
    <w:abstractNumId w:val="10"/>
  </w:num>
  <w:num w:numId="29" w16cid:durableId="588857282">
    <w:abstractNumId w:val="15"/>
  </w:num>
  <w:num w:numId="30" w16cid:durableId="1897163065">
    <w:abstractNumId w:val="14"/>
  </w:num>
  <w:num w:numId="31" w16cid:durableId="105733995">
    <w:abstractNumId w:val="33"/>
  </w:num>
  <w:num w:numId="32" w16cid:durableId="513152032">
    <w:abstractNumId w:val="21"/>
  </w:num>
  <w:num w:numId="33" w16cid:durableId="70856927">
    <w:abstractNumId w:val="3"/>
  </w:num>
  <w:num w:numId="34" w16cid:durableId="670722903">
    <w:abstractNumId w:val="34"/>
  </w:num>
  <w:num w:numId="35" w16cid:durableId="1111391525">
    <w:abstractNumId w:val="27"/>
  </w:num>
  <w:num w:numId="36" w16cid:durableId="109976745">
    <w:abstractNumId w:val="37"/>
  </w:num>
  <w:num w:numId="37" w16cid:durableId="666515670">
    <w:abstractNumId w:val="28"/>
  </w:num>
  <w:num w:numId="38" w16cid:durableId="134817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8"/>
    <w:rsid w:val="0000709C"/>
    <w:rsid w:val="0001042C"/>
    <w:rsid w:val="00012A23"/>
    <w:rsid w:val="00020546"/>
    <w:rsid w:val="000463C1"/>
    <w:rsid w:val="00082D48"/>
    <w:rsid w:val="000A72AE"/>
    <w:rsid w:val="000D75BC"/>
    <w:rsid w:val="000E1C09"/>
    <w:rsid w:val="000E5BF5"/>
    <w:rsid w:val="000E7240"/>
    <w:rsid w:val="000F671C"/>
    <w:rsid w:val="000F688B"/>
    <w:rsid w:val="001158FD"/>
    <w:rsid w:val="001217E1"/>
    <w:rsid w:val="001341F0"/>
    <w:rsid w:val="00140425"/>
    <w:rsid w:val="001462F7"/>
    <w:rsid w:val="00157091"/>
    <w:rsid w:val="0016477C"/>
    <w:rsid w:val="001836ED"/>
    <w:rsid w:val="001D71E9"/>
    <w:rsid w:val="001F363F"/>
    <w:rsid w:val="0020205E"/>
    <w:rsid w:val="002259FB"/>
    <w:rsid w:val="0022639A"/>
    <w:rsid w:val="00250BCF"/>
    <w:rsid w:val="00264E2B"/>
    <w:rsid w:val="0026764F"/>
    <w:rsid w:val="002803AC"/>
    <w:rsid w:val="00282781"/>
    <w:rsid w:val="00294C61"/>
    <w:rsid w:val="002962B7"/>
    <w:rsid w:val="002A40E0"/>
    <w:rsid w:val="002A7255"/>
    <w:rsid w:val="002C1F35"/>
    <w:rsid w:val="002C2F3F"/>
    <w:rsid w:val="002F5484"/>
    <w:rsid w:val="00303841"/>
    <w:rsid w:val="00306A6F"/>
    <w:rsid w:val="003231FC"/>
    <w:rsid w:val="00333463"/>
    <w:rsid w:val="00366D64"/>
    <w:rsid w:val="0037732B"/>
    <w:rsid w:val="00391073"/>
    <w:rsid w:val="003A53DE"/>
    <w:rsid w:val="003A629E"/>
    <w:rsid w:val="003B0626"/>
    <w:rsid w:val="003C20C6"/>
    <w:rsid w:val="003D6776"/>
    <w:rsid w:val="003F73E9"/>
    <w:rsid w:val="00411193"/>
    <w:rsid w:val="00412B9F"/>
    <w:rsid w:val="0042472E"/>
    <w:rsid w:val="00441B59"/>
    <w:rsid w:val="004430B3"/>
    <w:rsid w:val="004575BC"/>
    <w:rsid w:val="00467E30"/>
    <w:rsid w:val="0048595B"/>
    <w:rsid w:val="00491F5D"/>
    <w:rsid w:val="004C1957"/>
    <w:rsid w:val="004C2C76"/>
    <w:rsid w:val="004D2FE1"/>
    <w:rsid w:val="004F3DB9"/>
    <w:rsid w:val="00503613"/>
    <w:rsid w:val="005041C6"/>
    <w:rsid w:val="00512F1B"/>
    <w:rsid w:val="00523379"/>
    <w:rsid w:val="00534D58"/>
    <w:rsid w:val="00541229"/>
    <w:rsid w:val="0054698D"/>
    <w:rsid w:val="00555EDD"/>
    <w:rsid w:val="005703FD"/>
    <w:rsid w:val="00584FB1"/>
    <w:rsid w:val="00597888"/>
    <w:rsid w:val="005A372D"/>
    <w:rsid w:val="005A6DA9"/>
    <w:rsid w:val="005A7B98"/>
    <w:rsid w:val="005C77B6"/>
    <w:rsid w:val="005E369B"/>
    <w:rsid w:val="005E3EC5"/>
    <w:rsid w:val="005E7A74"/>
    <w:rsid w:val="0060777F"/>
    <w:rsid w:val="006145CB"/>
    <w:rsid w:val="0061673F"/>
    <w:rsid w:val="00630C2A"/>
    <w:rsid w:val="00642961"/>
    <w:rsid w:val="00654C40"/>
    <w:rsid w:val="006651FC"/>
    <w:rsid w:val="006773FC"/>
    <w:rsid w:val="00677841"/>
    <w:rsid w:val="006959A2"/>
    <w:rsid w:val="006972BD"/>
    <w:rsid w:val="00697CF1"/>
    <w:rsid w:val="006A0ACF"/>
    <w:rsid w:val="006D3E47"/>
    <w:rsid w:val="006E1132"/>
    <w:rsid w:val="006E77CA"/>
    <w:rsid w:val="006F08F5"/>
    <w:rsid w:val="006F1A3B"/>
    <w:rsid w:val="00713EAF"/>
    <w:rsid w:val="00736456"/>
    <w:rsid w:val="00756EE6"/>
    <w:rsid w:val="00764A4C"/>
    <w:rsid w:val="00774FA4"/>
    <w:rsid w:val="00777418"/>
    <w:rsid w:val="007778A5"/>
    <w:rsid w:val="007B3C34"/>
    <w:rsid w:val="007B6DF6"/>
    <w:rsid w:val="007E5F96"/>
    <w:rsid w:val="008012FA"/>
    <w:rsid w:val="00804A99"/>
    <w:rsid w:val="008170E1"/>
    <w:rsid w:val="008509FF"/>
    <w:rsid w:val="00851BD1"/>
    <w:rsid w:val="00866640"/>
    <w:rsid w:val="00870828"/>
    <w:rsid w:val="00876536"/>
    <w:rsid w:val="00885DB4"/>
    <w:rsid w:val="00892AB5"/>
    <w:rsid w:val="008939B0"/>
    <w:rsid w:val="00894BAC"/>
    <w:rsid w:val="008A3287"/>
    <w:rsid w:val="008A6347"/>
    <w:rsid w:val="008C3994"/>
    <w:rsid w:val="008C3F42"/>
    <w:rsid w:val="008D3070"/>
    <w:rsid w:val="008E2C36"/>
    <w:rsid w:val="008F204D"/>
    <w:rsid w:val="009132D6"/>
    <w:rsid w:val="00925CC1"/>
    <w:rsid w:val="00926140"/>
    <w:rsid w:val="009319E9"/>
    <w:rsid w:val="00937122"/>
    <w:rsid w:val="00985600"/>
    <w:rsid w:val="00990B54"/>
    <w:rsid w:val="00991BD5"/>
    <w:rsid w:val="009A46A5"/>
    <w:rsid w:val="009A57FF"/>
    <w:rsid w:val="009B568D"/>
    <w:rsid w:val="009C30E8"/>
    <w:rsid w:val="009C5B5D"/>
    <w:rsid w:val="009C7A66"/>
    <w:rsid w:val="009D3472"/>
    <w:rsid w:val="009E6AF6"/>
    <w:rsid w:val="009F428C"/>
    <w:rsid w:val="009F6E21"/>
    <w:rsid w:val="00A210DA"/>
    <w:rsid w:val="00A26975"/>
    <w:rsid w:val="00A42368"/>
    <w:rsid w:val="00A83ADF"/>
    <w:rsid w:val="00AA5202"/>
    <w:rsid w:val="00AB51EB"/>
    <w:rsid w:val="00AC22FF"/>
    <w:rsid w:val="00AD7CA8"/>
    <w:rsid w:val="00AE653F"/>
    <w:rsid w:val="00B07915"/>
    <w:rsid w:val="00B11866"/>
    <w:rsid w:val="00B14503"/>
    <w:rsid w:val="00B42DCE"/>
    <w:rsid w:val="00B50D8C"/>
    <w:rsid w:val="00B731F4"/>
    <w:rsid w:val="00B756C9"/>
    <w:rsid w:val="00B94D3F"/>
    <w:rsid w:val="00BD35E5"/>
    <w:rsid w:val="00BE379E"/>
    <w:rsid w:val="00C04308"/>
    <w:rsid w:val="00C043DE"/>
    <w:rsid w:val="00C46A77"/>
    <w:rsid w:val="00C6015C"/>
    <w:rsid w:val="00C60BC9"/>
    <w:rsid w:val="00C6547C"/>
    <w:rsid w:val="00C801AA"/>
    <w:rsid w:val="00CB4E31"/>
    <w:rsid w:val="00CB54E3"/>
    <w:rsid w:val="00CC015B"/>
    <w:rsid w:val="00CC0E79"/>
    <w:rsid w:val="00D25346"/>
    <w:rsid w:val="00D26D54"/>
    <w:rsid w:val="00D33BF7"/>
    <w:rsid w:val="00D349C7"/>
    <w:rsid w:val="00D4127C"/>
    <w:rsid w:val="00D42C0B"/>
    <w:rsid w:val="00D60892"/>
    <w:rsid w:val="00D7221C"/>
    <w:rsid w:val="00D759C0"/>
    <w:rsid w:val="00D81F58"/>
    <w:rsid w:val="00D830C3"/>
    <w:rsid w:val="00D9771C"/>
    <w:rsid w:val="00DB1F48"/>
    <w:rsid w:val="00DE2161"/>
    <w:rsid w:val="00DE3233"/>
    <w:rsid w:val="00DE781A"/>
    <w:rsid w:val="00E04988"/>
    <w:rsid w:val="00E240E0"/>
    <w:rsid w:val="00E34CDF"/>
    <w:rsid w:val="00E35F43"/>
    <w:rsid w:val="00E424DD"/>
    <w:rsid w:val="00E42D9A"/>
    <w:rsid w:val="00E62A67"/>
    <w:rsid w:val="00E671AE"/>
    <w:rsid w:val="00E7431B"/>
    <w:rsid w:val="00E77C1F"/>
    <w:rsid w:val="00E86A9C"/>
    <w:rsid w:val="00E97DD6"/>
    <w:rsid w:val="00EA7349"/>
    <w:rsid w:val="00EB042C"/>
    <w:rsid w:val="00EB0741"/>
    <w:rsid w:val="00ED186F"/>
    <w:rsid w:val="00ED24F5"/>
    <w:rsid w:val="00ED3AD0"/>
    <w:rsid w:val="00EE48D2"/>
    <w:rsid w:val="00EF177A"/>
    <w:rsid w:val="00F01836"/>
    <w:rsid w:val="00F041C7"/>
    <w:rsid w:val="00F06776"/>
    <w:rsid w:val="00F077AB"/>
    <w:rsid w:val="00F600FA"/>
    <w:rsid w:val="00F63338"/>
    <w:rsid w:val="00F6508E"/>
    <w:rsid w:val="00F66A3F"/>
    <w:rsid w:val="00F803C0"/>
    <w:rsid w:val="00F86D6D"/>
    <w:rsid w:val="00F900AB"/>
    <w:rsid w:val="00FC5860"/>
    <w:rsid w:val="00FD05FE"/>
    <w:rsid w:val="00FD6441"/>
    <w:rsid w:val="00FE69D8"/>
    <w:rsid w:val="01C781EA"/>
    <w:rsid w:val="055073B2"/>
    <w:rsid w:val="0EB0CC45"/>
    <w:rsid w:val="13372133"/>
    <w:rsid w:val="1710C7B1"/>
    <w:rsid w:val="1C40ACC6"/>
    <w:rsid w:val="25CD9D03"/>
    <w:rsid w:val="35A1A97A"/>
    <w:rsid w:val="3CD7E039"/>
    <w:rsid w:val="40BDDE34"/>
    <w:rsid w:val="42AD2844"/>
    <w:rsid w:val="4351343C"/>
    <w:rsid w:val="46F8E57B"/>
    <w:rsid w:val="4D5D66D7"/>
    <w:rsid w:val="55C70BD7"/>
    <w:rsid w:val="55C73DDF"/>
    <w:rsid w:val="57504A23"/>
    <w:rsid w:val="5B215063"/>
    <w:rsid w:val="5C7E0F50"/>
    <w:rsid w:val="6D2CF41A"/>
    <w:rsid w:val="71E78422"/>
    <w:rsid w:val="729D63AC"/>
    <w:rsid w:val="753BE4DB"/>
    <w:rsid w:val="7A7F5ED1"/>
    <w:rsid w:val="7FF8D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2625AB"/>
  <w15:docId w15:val="{98AF30F1-C6E1-4027-ACAC-576A3B2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4F"/>
    <w:pPr>
      <w:spacing w:after="200" w:line="276" w:lineRule="auto"/>
    </w:pPr>
    <w:rPr>
      <w:sz w:val="22"/>
      <w:szCs w:val="22"/>
      <w:lang w:eastAsia="en-US"/>
    </w:rPr>
  </w:style>
  <w:style w:type="paragraph" w:styleId="Heading1">
    <w:name w:val="heading 1"/>
    <w:aliases w:val="Section"/>
    <w:basedOn w:val="Normal"/>
    <w:next w:val="Heading2"/>
    <w:link w:val="Heading1Char"/>
    <w:qFormat/>
    <w:rsid w:val="009D3472"/>
    <w:pPr>
      <w:keepNext/>
      <w:keepLines/>
      <w:pageBreakBefore/>
      <w:numPr>
        <w:numId w:val="2"/>
      </w:numPr>
      <w:spacing w:before="180" w:after="120" w:line="240" w:lineRule="auto"/>
      <w:outlineLvl w:val="0"/>
    </w:pPr>
    <w:rPr>
      <w:rFonts w:ascii="Arial" w:eastAsia="Times New Roman" w:hAnsi="Arial"/>
      <w:b/>
      <w:bCs/>
      <w:kern w:val="32"/>
      <w:sz w:val="28"/>
      <w:szCs w:val="32"/>
      <w:lang w:val="x-none" w:eastAsia="en-GB"/>
    </w:rPr>
  </w:style>
  <w:style w:type="paragraph" w:styleId="Heading2">
    <w:name w:val="heading 2"/>
    <w:aliases w:val="Major,Ma,Reset numbering,PARA2,ParaLvl2"/>
    <w:basedOn w:val="Normal"/>
    <w:next w:val="BodyText"/>
    <w:link w:val="Heading2Char"/>
    <w:qFormat/>
    <w:rsid w:val="009D3472"/>
    <w:pPr>
      <w:keepNext/>
      <w:numPr>
        <w:ilvl w:val="1"/>
        <w:numId w:val="2"/>
      </w:numPr>
      <w:spacing w:before="180" w:after="120" w:line="240" w:lineRule="auto"/>
      <w:outlineLvl w:val="1"/>
    </w:pPr>
    <w:rPr>
      <w:rFonts w:ascii="Arial" w:eastAsia="Times New Roman" w:hAnsi="Arial"/>
      <w:b/>
      <w:bCs/>
      <w:iCs/>
      <w:sz w:val="24"/>
      <w:szCs w:val="28"/>
      <w:lang w:val="x-none" w:eastAsia="en-GB"/>
    </w:rPr>
  </w:style>
  <w:style w:type="paragraph" w:styleId="Heading3">
    <w:name w:val="heading 3"/>
    <w:basedOn w:val="Normal"/>
    <w:next w:val="BodyText"/>
    <w:link w:val="Heading3Char"/>
    <w:qFormat/>
    <w:rsid w:val="009D3472"/>
    <w:pPr>
      <w:keepNext/>
      <w:spacing w:before="150" w:after="120" w:line="240" w:lineRule="auto"/>
      <w:outlineLvl w:val="2"/>
    </w:pPr>
    <w:rPr>
      <w:rFonts w:ascii="Arial" w:eastAsia="Times New Roman" w:hAnsi="Arial"/>
      <w:b/>
      <w:bCs/>
      <w:i/>
      <w:sz w:val="20"/>
      <w:szCs w:val="26"/>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41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77418"/>
    <w:rPr>
      <w:rFonts w:ascii="Tahoma" w:hAnsi="Tahoma" w:cs="Tahoma"/>
      <w:sz w:val="16"/>
      <w:szCs w:val="16"/>
    </w:rPr>
  </w:style>
  <w:style w:type="character" w:customStyle="1" w:styleId="Heading1Char">
    <w:name w:val="Heading 1 Char"/>
    <w:aliases w:val="Section Char"/>
    <w:link w:val="Heading1"/>
    <w:rsid w:val="009D3472"/>
    <w:rPr>
      <w:rFonts w:ascii="Arial" w:eastAsia="Times New Roman" w:hAnsi="Arial" w:cs="Arial"/>
      <w:b/>
      <w:bCs/>
      <w:kern w:val="32"/>
      <w:sz w:val="28"/>
      <w:szCs w:val="32"/>
      <w:lang w:eastAsia="en-GB"/>
    </w:rPr>
  </w:style>
  <w:style w:type="character" w:customStyle="1" w:styleId="Heading2Char">
    <w:name w:val="Heading 2 Char"/>
    <w:aliases w:val="Major Char,Ma Char,Reset numbering Char,PARA2 Char,ParaLvl2 Char"/>
    <w:link w:val="Heading2"/>
    <w:rsid w:val="009D3472"/>
    <w:rPr>
      <w:rFonts w:ascii="Arial" w:eastAsia="Times New Roman" w:hAnsi="Arial" w:cs="Arial"/>
      <w:b/>
      <w:bCs/>
      <w:iCs/>
      <w:sz w:val="24"/>
      <w:szCs w:val="28"/>
      <w:lang w:eastAsia="en-GB"/>
    </w:rPr>
  </w:style>
  <w:style w:type="character" w:customStyle="1" w:styleId="Heading3Char">
    <w:name w:val="Heading 3 Char"/>
    <w:link w:val="Heading3"/>
    <w:rsid w:val="009D3472"/>
    <w:rPr>
      <w:rFonts w:ascii="Arial" w:eastAsia="Times New Roman" w:hAnsi="Arial" w:cs="Arial"/>
      <w:b/>
      <w:bCs/>
      <w:i/>
      <w:szCs w:val="26"/>
      <w:lang w:eastAsia="en-GB"/>
    </w:rPr>
  </w:style>
  <w:style w:type="paragraph" w:styleId="BodyText">
    <w:name w:val="Body Text"/>
    <w:basedOn w:val="Normal"/>
    <w:link w:val="BodyTextChar"/>
    <w:rsid w:val="009D3472"/>
    <w:pPr>
      <w:numPr>
        <w:ilvl w:val="4"/>
        <w:numId w:val="2"/>
      </w:numPr>
      <w:spacing w:before="40" w:after="80" w:line="240" w:lineRule="auto"/>
      <w:jc w:val="both"/>
      <w:outlineLvl w:val="2"/>
    </w:pPr>
    <w:rPr>
      <w:rFonts w:ascii="Arial" w:eastAsia="Times New Roman" w:hAnsi="Arial"/>
      <w:sz w:val="20"/>
      <w:szCs w:val="20"/>
      <w:lang w:val="x-none" w:eastAsia="en-GB"/>
    </w:rPr>
  </w:style>
  <w:style w:type="character" w:customStyle="1" w:styleId="BodyTextChar">
    <w:name w:val="Body Text Char"/>
    <w:link w:val="BodyText"/>
    <w:rsid w:val="009D3472"/>
    <w:rPr>
      <w:rFonts w:ascii="Arial" w:eastAsia="Times New Roman" w:hAnsi="Arial" w:cs="Times New Roman"/>
      <w:lang w:eastAsia="en-GB"/>
    </w:rPr>
  </w:style>
  <w:style w:type="paragraph" w:styleId="Header">
    <w:name w:val="header"/>
    <w:aliases w:val="h"/>
    <w:basedOn w:val="Normal"/>
    <w:link w:val="HeaderChar"/>
    <w:rsid w:val="009D3472"/>
    <w:pPr>
      <w:tabs>
        <w:tab w:val="center" w:pos="4153"/>
        <w:tab w:val="right" w:pos="8306"/>
      </w:tabs>
      <w:spacing w:after="120" w:line="240" w:lineRule="auto"/>
    </w:pPr>
    <w:rPr>
      <w:rFonts w:ascii="Arial" w:eastAsia="Times New Roman" w:hAnsi="Arial"/>
      <w:sz w:val="18"/>
      <w:szCs w:val="20"/>
      <w:lang w:val="x-none" w:eastAsia="en-GB"/>
    </w:rPr>
  </w:style>
  <w:style w:type="character" w:customStyle="1" w:styleId="HeaderChar">
    <w:name w:val="Header Char"/>
    <w:aliases w:val="h Char"/>
    <w:link w:val="Header"/>
    <w:rsid w:val="009D3472"/>
    <w:rPr>
      <w:rFonts w:ascii="Arial" w:eastAsia="Times New Roman" w:hAnsi="Arial" w:cs="Times New Roman"/>
      <w:sz w:val="18"/>
      <w:lang w:eastAsia="en-GB"/>
    </w:rPr>
  </w:style>
  <w:style w:type="paragraph" w:customStyle="1" w:styleId="HeaderMarking">
    <w:name w:val="Header Marking"/>
    <w:basedOn w:val="Header"/>
    <w:rsid w:val="009D3472"/>
    <w:pPr>
      <w:jc w:val="center"/>
    </w:pPr>
    <w:rPr>
      <w:b/>
    </w:rPr>
  </w:style>
  <w:style w:type="paragraph" w:customStyle="1" w:styleId="CopyrightBody">
    <w:name w:val="Copyright Body"/>
    <w:basedOn w:val="Normal"/>
    <w:rsid w:val="009D3472"/>
    <w:pPr>
      <w:keepLines/>
      <w:spacing w:after="0" w:line="240" w:lineRule="auto"/>
      <w:ind w:left="567" w:right="567"/>
      <w:jc w:val="center"/>
    </w:pPr>
    <w:rPr>
      <w:rFonts w:ascii="Arial" w:eastAsia="Times New Roman" w:hAnsi="Arial"/>
      <w:sz w:val="16"/>
      <w:lang w:eastAsia="en-GB"/>
    </w:rPr>
  </w:style>
  <w:style w:type="paragraph" w:customStyle="1" w:styleId="BoldHeader">
    <w:name w:val="Bold Header"/>
    <w:basedOn w:val="Header"/>
    <w:rsid w:val="009D3472"/>
    <w:pPr>
      <w:jc w:val="both"/>
    </w:pPr>
    <w:rPr>
      <w:b/>
    </w:rPr>
  </w:style>
  <w:style w:type="paragraph" w:customStyle="1" w:styleId="HeaderRight">
    <w:name w:val="Header Right"/>
    <w:basedOn w:val="Header"/>
    <w:rsid w:val="009D3472"/>
    <w:pPr>
      <w:jc w:val="right"/>
    </w:pPr>
  </w:style>
  <w:style w:type="paragraph" w:customStyle="1" w:styleId="ProtectiveMarking">
    <w:name w:val="Protective Marking"/>
    <w:basedOn w:val="HeaderMarking"/>
    <w:rsid w:val="009D3472"/>
    <w:pPr>
      <w:spacing w:before="120" w:after="0"/>
    </w:pPr>
    <w:rPr>
      <w:sz w:val="20"/>
    </w:rPr>
  </w:style>
  <w:style w:type="paragraph" w:customStyle="1" w:styleId="BodyText-Level2">
    <w:name w:val="Body Text - Level 2"/>
    <w:basedOn w:val="BodyText"/>
    <w:rsid w:val="009D3472"/>
    <w:pPr>
      <w:numPr>
        <w:ilvl w:val="3"/>
      </w:numPr>
      <w:outlineLvl w:val="3"/>
    </w:pPr>
  </w:style>
  <w:style w:type="character" w:styleId="CommentReference">
    <w:name w:val="annotation reference"/>
    <w:semiHidden/>
    <w:rsid w:val="009D3472"/>
    <w:rPr>
      <w:sz w:val="16"/>
      <w:szCs w:val="16"/>
    </w:rPr>
  </w:style>
  <w:style w:type="paragraph" w:styleId="Footer">
    <w:name w:val="footer"/>
    <w:basedOn w:val="Normal"/>
    <w:link w:val="FooterChar"/>
    <w:uiPriority w:val="99"/>
    <w:unhideWhenUsed/>
    <w:rsid w:val="009D3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72"/>
  </w:style>
  <w:style w:type="paragraph" w:customStyle="1" w:styleId="SenderName">
    <w:name w:val="Sender Name"/>
    <w:basedOn w:val="Normal"/>
    <w:next w:val="Normal"/>
    <w:link w:val="SenderNameChar"/>
    <w:rsid w:val="00467E30"/>
    <w:pPr>
      <w:tabs>
        <w:tab w:val="right" w:pos="8889"/>
      </w:tabs>
      <w:spacing w:before="480" w:after="0" w:line="240" w:lineRule="auto"/>
    </w:pPr>
    <w:rPr>
      <w:rFonts w:ascii="Tahoma" w:eastAsia="Batang" w:hAnsi="Tahoma"/>
      <w:b/>
      <w:color w:val="365F91"/>
      <w:sz w:val="24"/>
      <w:szCs w:val="24"/>
      <w:lang w:val="x-none" w:eastAsia="ko-KR"/>
    </w:rPr>
  </w:style>
  <w:style w:type="character" w:customStyle="1" w:styleId="SenderNameChar">
    <w:name w:val="Sender Name Char"/>
    <w:link w:val="SenderName"/>
    <w:rsid w:val="00467E30"/>
    <w:rPr>
      <w:rFonts w:ascii="Tahoma" w:eastAsia="Batang" w:hAnsi="Tahoma"/>
      <w:b/>
      <w:color w:val="365F91"/>
      <w:sz w:val="24"/>
      <w:szCs w:val="24"/>
      <w:lang w:eastAsia="ko-KR"/>
    </w:rPr>
  </w:style>
  <w:style w:type="paragraph" w:customStyle="1" w:styleId="Default">
    <w:name w:val="Default"/>
    <w:rsid w:val="00157091"/>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E7431B"/>
    <w:pPr>
      <w:ind w:left="720"/>
    </w:pPr>
  </w:style>
  <w:style w:type="table" w:styleId="TableGrid">
    <w:name w:val="Table Grid"/>
    <w:basedOn w:val="TableNormal"/>
    <w:uiPriority w:val="59"/>
    <w:rsid w:val="00B7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72AE"/>
    <w:rPr>
      <w:sz w:val="22"/>
      <w:szCs w:val="22"/>
      <w:lang w:eastAsia="en-US"/>
    </w:rPr>
  </w:style>
  <w:style w:type="table" w:customStyle="1" w:styleId="TableGrid1">
    <w:name w:val="Table Grid1"/>
    <w:basedOn w:val="TableNormal"/>
    <w:next w:val="TableGrid"/>
    <w:uiPriority w:val="59"/>
    <w:rsid w:val="009F6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6015C"/>
    <w:pPr>
      <w:spacing w:line="240" w:lineRule="auto"/>
    </w:pPr>
    <w:rPr>
      <w:sz w:val="20"/>
      <w:szCs w:val="20"/>
    </w:rPr>
  </w:style>
  <w:style w:type="character" w:customStyle="1" w:styleId="CommentTextChar">
    <w:name w:val="Comment Text Char"/>
    <w:basedOn w:val="DefaultParagraphFont"/>
    <w:link w:val="CommentText"/>
    <w:uiPriority w:val="99"/>
    <w:semiHidden/>
    <w:rsid w:val="00C6015C"/>
    <w:rPr>
      <w:lang w:eastAsia="en-US"/>
    </w:rPr>
  </w:style>
  <w:style w:type="paragraph" w:styleId="CommentSubject">
    <w:name w:val="annotation subject"/>
    <w:basedOn w:val="CommentText"/>
    <w:next w:val="CommentText"/>
    <w:link w:val="CommentSubjectChar"/>
    <w:uiPriority w:val="99"/>
    <w:semiHidden/>
    <w:unhideWhenUsed/>
    <w:rsid w:val="00C6015C"/>
    <w:rPr>
      <w:b/>
      <w:bCs/>
    </w:rPr>
  </w:style>
  <w:style w:type="character" w:customStyle="1" w:styleId="CommentSubjectChar">
    <w:name w:val="Comment Subject Char"/>
    <w:basedOn w:val="CommentTextChar"/>
    <w:link w:val="CommentSubject"/>
    <w:uiPriority w:val="99"/>
    <w:semiHidden/>
    <w:rsid w:val="00C6015C"/>
    <w:rPr>
      <w:b/>
      <w:bCs/>
      <w:lang w:eastAsia="en-US"/>
    </w:rPr>
  </w:style>
  <w:style w:type="paragraph" w:styleId="Revision">
    <w:name w:val="Revision"/>
    <w:hidden/>
    <w:uiPriority w:val="99"/>
    <w:semiHidden/>
    <w:rsid w:val="00534D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107">
      <w:bodyDiv w:val="1"/>
      <w:marLeft w:val="0"/>
      <w:marRight w:val="0"/>
      <w:marTop w:val="0"/>
      <w:marBottom w:val="0"/>
      <w:divBdr>
        <w:top w:val="none" w:sz="0" w:space="0" w:color="auto"/>
        <w:left w:val="none" w:sz="0" w:space="0" w:color="auto"/>
        <w:bottom w:val="none" w:sz="0" w:space="0" w:color="auto"/>
        <w:right w:val="none" w:sz="0" w:space="0" w:color="auto"/>
      </w:divBdr>
    </w:div>
    <w:div w:id="281501046">
      <w:bodyDiv w:val="1"/>
      <w:marLeft w:val="0"/>
      <w:marRight w:val="0"/>
      <w:marTop w:val="0"/>
      <w:marBottom w:val="0"/>
      <w:divBdr>
        <w:top w:val="none" w:sz="0" w:space="0" w:color="auto"/>
        <w:left w:val="none" w:sz="0" w:space="0" w:color="auto"/>
        <w:bottom w:val="none" w:sz="0" w:space="0" w:color="auto"/>
        <w:right w:val="none" w:sz="0" w:space="0" w:color="auto"/>
      </w:divBdr>
    </w:div>
    <w:div w:id="437330727">
      <w:bodyDiv w:val="1"/>
      <w:marLeft w:val="0"/>
      <w:marRight w:val="0"/>
      <w:marTop w:val="0"/>
      <w:marBottom w:val="0"/>
      <w:divBdr>
        <w:top w:val="none" w:sz="0" w:space="0" w:color="auto"/>
        <w:left w:val="none" w:sz="0" w:space="0" w:color="auto"/>
        <w:bottom w:val="none" w:sz="0" w:space="0" w:color="auto"/>
        <w:right w:val="none" w:sz="0" w:space="0" w:color="auto"/>
      </w:divBdr>
      <w:divsChild>
        <w:div w:id="1940984854">
          <w:marLeft w:val="360"/>
          <w:marRight w:val="0"/>
          <w:marTop w:val="200"/>
          <w:marBottom w:val="0"/>
          <w:divBdr>
            <w:top w:val="none" w:sz="0" w:space="0" w:color="auto"/>
            <w:left w:val="none" w:sz="0" w:space="0" w:color="auto"/>
            <w:bottom w:val="none" w:sz="0" w:space="0" w:color="auto"/>
            <w:right w:val="none" w:sz="0" w:space="0" w:color="auto"/>
          </w:divBdr>
        </w:div>
      </w:divsChild>
    </w:div>
    <w:div w:id="1410929479">
      <w:bodyDiv w:val="1"/>
      <w:marLeft w:val="0"/>
      <w:marRight w:val="0"/>
      <w:marTop w:val="0"/>
      <w:marBottom w:val="0"/>
      <w:divBdr>
        <w:top w:val="none" w:sz="0" w:space="0" w:color="auto"/>
        <w:left w:val="none" w:sz="0" w:space="0" w:color="auto"/>
        <w:bottom w:val="none" w:sz="0" w:space="0" w:color="auto"/>
        <w:right w:val="none" w:sz="0" w:space="0" w:color="auto"/>
      </w:divBdr>
    </w:div>
    <w:div w:id="145327938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sChild>
        <w:div w:id="190916289">
          <w:marLeft w:val="360"/>
          <w:marRight w:val="0"/>
          <w:marTop w:val="200"/>
          <w:marBottom w:val="0"/>
          <w:divBdr>
            <w:top w:val="none" w:sz="0" w:space="0" w:color="auto"/>
            <w:left w:val="none" w:sz="0" w:space="0" w:color="auto"/>
            <w:bottom w:val="none" w:sz="0" w:space="0" w:color="auto"/>
            <w:right w:val="none" w:sz="0" w:space="0" w:color="auto"/>
          </w:divBdr>
        </w:div>
        <w:div w:id="1211844187">
          <w:marLeft w:val="360"/>
          <w:marRight w:val="0"/>
          <w:marTop w:val="200"/>
          <w:marBottom w:val="0"/>
          <w:divBdr>
            <w:top w:val="none" w:sz="0" w:space="0" w:color="auto"/>
            <w:left w:val="none" w:sz="0" w:space="0" w:color="auto"/>
            <w:bottom w:val="none" w:sz="0" w:space="0" w:color="auto"/>
            <w:right w:val="none" w:sz="0" w:space="0" w:color="auto"/>
          </w:divBdr>
        </w:div>
        <w:div w:id="1876114359">
          <w:marLeft w:val="360"/>
          <w:marRight w:val="0"/>
          <w:marTop w:val="200"/>
          <w:marBottom w:val="0"/>
          <w:divBdr>
            <w:top w:val="none" w:sz="0" w:space="0" w:color="auto"/>
            <w:left w:val="none" w:sz="0" w:space="0" w:color="auto"/>
            <w:bottom w:val="none" w:sz="0" w:space="0" w:color="auto"/>
            <w:right w:val="none" w:sz="0" w:space="0" w:color="auto"/>
          </w:divBdr>
        </w:div>
        <w:div w:id="1985507394">
          <w:marLeft w:val="360"/>
          <w:marRight w:val="0"/>
          <w:marTop w:val="200"/>
          <w:marBottom w:val="0"/>
          <w:divBdr>
            <w:top w:val="none" w:sz="0" w:space="0" w:color="auto"/>
            <w:left w:val="none" w:sz="0" w:space="0" w:color="auto"/>
            <w:bottom w:val="none" w:sz="0" w:space="0" w:color="auto"/>
            <w:right w:val="none" w:sz="0" w:space="0" w:color="auto"/>
          </w:divBdr>
        </w:div>
      </w:divsChild>
    </w:div>
    <w:div w:id="2027360425">
      <w:bodyDiv w:val="1"/>
      <w:marLeft w:val="0"/>
      <w:marRight w:val="0"/>
      <w:marTop w:val="0"/>
      <w:marBottom w:val="0"/>
      <w:divBdr>
        <w:top w:val="none" w:sz="0" w:space="0" w:color="auto"/>
        <w:left w:val="none" w:sz="0" w:space="0" w:color="auto"/>
        <w:bottom w:val="none" w:sz="0" w:space="0" w:color="auto"/>
        <w:right w:val="none" w:sz="0" w:space="0" w:color="auto"/>
      </w:divBdr>
    </w:div>
    <w:div w:id="2046521067">
      <w:bodyDiv w:val="1"/>
      <w:marLeft w:val="0"/>
      <w:marRight w:val="0"/>
      <w:marTop w:val="0"/>
      <w:marBottom w:val="0"/>
      <w:divBdr>
        <w:top w:val="none" w:sz="0" w:space="0" w:color="auto"/>
        <w:left w:val="none" w:sz="0" w:space="0" w:color="auto"/>
        <w:bottom w:val="none" w:sz="0" w:space="0" w:color="auto"/>
        <w:right w:val="none" w:sz="0" w:space="0" w:color="auto"/>
      </w:divBdr>
    </w:div>
    <w:div w:id="205855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1D3E9-9E17-4A2F-915C-F4431CC7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509D2-12C1-4158-A48F-C9B771425AB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2c0a8a9e-96dc-41d3-bc6b-7d7173b4de39"/>
    <ds:schemaRef ds:uri="ae527f8b-4481-4b0a-9aa4-f400ba4a888a"/>
  </ds:schemaRefs>
</ds:datastoreItem>
</file>

<file path=customXml/itemProps3.xml><?xml version="1.0" encoding="utf-8"?>
<ds:datastoreItem xmlns:ds="http://schemas.openxmlformats.org/officeDocument/2006/customXml" ds:itemID="{0FDFB88B-35DD-465A-AE29-4A9C35D01098}">
  <ds:schemaRefs>
    <ds:schemaRef ds:uri="http://schemas.openxmlformats.org/officeDocument/2006/bibliography"/>
  </ds:schemaRefs>
</ds:datastoreItem>
</file>

<file path=customXml/itemProps4.xml><?xml version="1.0" encoding="utf-8"?>
<ds:datastoreItem xmlns:ds="http://schemas.openxmlformats.org/officeDocument/2006/customXml" ds:itemID="{AC4B9D96-AFE1-4FC5-992C-74B484941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Company>ACPO</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Cockwell Steve Det Ch Supt</dc:creator>
  <cp:lastModifiedBy>Morgan Sophie (OPCC)</cp:lastModifiedBy>
  <cp:revision>2</cp:revision>
  <cp:lastPrinted>2018-08-15T12:00:00Z</cp:lastPrinted>
  <dcterms:created xsi:type="dcterms:W3CDTF">2025-01-07T09:03:00Z</dcterms:created>
  <dcterms:modified xsi:type="dcterms:W3CDTF">2025-01-07T09:03:00Z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9d4316c9-6636-4a93-983b-7f0374cece60</vt:lpwstr>
  </property>
  <property fmtid="{D5CDD505-2E9C-101B-9397-08002B2CF9AE}" pid="3" name="ContentTypeId">
    <vt:lpwstr>0x0101008DE9C5114ACD674E9813E352693D4379</vt:lpwstr>
  </property>
  <property fmtid="{D5CDD505-2E9C-101B-9397-08002B2CF9AE}" pid="4" name="ClassificationContentMarkingHeaderShapeIds">
    <vt:lpwstr>1,3,4</vt:lpwstr>
  </property>
  <property fmtid="{D5CDD505-2E9C-101B-9397-08002B2CF9AE}" pid="5" name="ClassificationContentMarkingHeaderFontProps">
    <vt:lpwstr>#0000ff,10,Calibri</vt:lpwstr>
  </property>
  <property fmtid="{D5CDD505-2E9C-101B-9397-08002B2CF9AE}" pid="6" name="ClassificationContentMarkingHeaderText">
    <vt:lpwstr>OFFICIAL - Swyddogol</vt:lpwstr>
  </property>
  <property fmtid="{D5CDD505-2E9C-101B-9397-08002B2CF9AE}" pid="7" name="MSIP_Label_7beefdff-6834-454f-be00-a68b5bc5f471_Enabled">
    <vt:lpwstr>true</vt:lpwstr>
  </property>
  <property fmtid="{D5CDD505-2E9C-101B-9397-08002B2CF9AE}" pid="8" name="MSIP_Label_7beefdff-6834-454f-be00-a68b5bc5f471_SetDate">
    <vt:lpwstr>2024-06-25T16:01:39Z</vt:lpwstr>
  </property>
  <property fmtid="{D5CDD505-2E9C-101B-9397-08002B2CF9AE}" pid="9" name="MSIP_Label_7beefdff-6834-454f-be00-a68b5bc5f471_Method">
    <vt:lpwstr>Standard</vt:lpwstr>
  </property>
  <property fmtid="{D5CDD505-2E9C-101B-9397-08002B2CF9AE}" pid="10" name="MSIP_Label_7beefdff-6834-454f-be00-a68b5bc5f471_Name">
    <vt:lpwstr>OFFICIAL</vt:lpwstr>
  </property>
  <property fmtid="{D5CDD505-2E9C-101B-9397-08002B2CF9AE}" pid="11" name="MSIP_Label_7beefdff-6834-454f-be00-a68b5bc5f471_SiteId">
    <vt:lpwstr>39683655-1d97-4b22-be8c-246da0f47a41</vt:lpwstr>
  </property>
  <property fmtid="{D5CDD505-2E9C-101B-9397-08002B2CF9AE}" pid="12" name="MSIP_Label_7beefdff-6834-454f-be00-a68b5bc5f471_ActionId">
    <vt:lpwstr>fcb09479-751b-4a28-9b9f-4f0fcab7ae11</vt:lpwstr>
  </property>
  <property fmtid="{D5CDD505-2E9C-101B-9397-08002B2CF9AE}" pid="13" name="MSIP_Label_7beefdff-6834-454f-be00-a68b5bc5f471_ContentBits">
    <vt:lpwstr>1</vt:lpwstr>
  </property>
  <property fmtid="{D5CDD505-2E9C-101B-9397-08002B2CF9AE}" pid="14" name="MediaServiceImageTags">
    <vt:lpwstr/>
  </property>
</Properties>
</file>